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9B0" w:rsidRPr="00FB6CBA" w:rsidRDefault="00FB6CBA" w:rsidP="00FB6CBA">
      <w:pPr>
        <w:pStyle w:val="Balk1"/>
        <w:tabs>
          <w:tab w:val="left" w:pos="284"/>
        </w:tabs>
        <w:ind w:left="0" w:right="14" w:firstLine="426"/>
        <w:rPr>
          <w:rFonts w:cs="Times New Roman"/>
        </w:rPr>
      </w:pPr>
      <w:r w:rsidRPr="00FB6CBA">
        <w:rPr>
          <w:rFonts w:cs="Times New Roman"/>
        </w:rPr>
        <w:t>(Senate Resolution dated 16.02.2021, no. 04)</w:t>
      </w:r>
    </w:p>
    <w:p w:rsidR="008E49B0" w:rsidRPr="00FB6CBA" w:rsidRDefault="008E49B0" w:rsidP="00FB6CBA">
      <w:pPr>
        <w:tabs>
          <w:tab w:val="left" w:pos="284"/>
        </w:tabs>
        <w:spacing w:before="9"/>
        <w:ind w:right="14" w:firstLine="426"/>
        <w:rPr>
          <w:rFonts w:ascii="Times New Roman" w:eastAsia="Times New Roman" w:hAnsi="Times New Roman" w:cs="Times New Roman"/>
          <w:sz w:val="24"/>
          <w:szCs w:val="24"/>
        </w:rPr>
      </w:pPr>
    </w:p>
    <w:p w:rsidR="008E49B0" w:rsidRPr="00FB6CBA" w:rsidRDefault="00FB6CBA" w:rsidP="00FB6CBA">
      <w:pPr>
        <w:tabs>
          <w:tab w:val="left" w:pos="284"/>
        </w:tabs>
        <w:ind w:right="14" w:firstLine="426"/>
        <w:jc w:val="center"/>
        <w:rPr>
          <w:rFonts w:ascii="Times New Roman" w:eastAsia="Times New Roman" w:hAnsi="Times New Roman" w:cs="Times New Roman"/>
          <w:sz w:val="24"/>
          <w:szCs w:val="24"/>
        </w:rPr>
      </w:pPr>
      <w:r w:rsidRPr="00FB6CBA">
        <w:rPr>
          <w:rFonts w:ascii="Times New Roman" w:hAnsi="Times New Roman" w:cs="Times New Roman"/>
          <w:b/>
          <w:sz w:val="24"/>
          <w:szCs w:val="24"/>
        </w:rPr>
        <w:t>DIRECTIVE ON THE HONORARY MENTION STUDENTS AND GRADUATION RANKINGS OF STUDENTS GRADUATING WITHIN A GIVEN ACADEMIC YEAR</w:t>
      </w:r>
    </w:p>
    <w:p w:rsidR="008E49B0" w:rsidRPr="00FB6CBA" w:rsidRDefault="008E49B0" w:rsidP="00FB6CBA">
      <w:pPr>
        <w:tabs>
          <w:tab w:val="left" w:pos="284"/>
        </w:tabs>
        <w:spacing w:before="7"/>
        <w:ind w:right="14" w:firstLine="426"/>
        <w:rPr>
          <w:rFonts w:ascii="Times New Roman" w:eastAsia="Times New Roman" w:hAnsi="Times New Roman" w:cs="Times New Roman"/>
          <w:b/>
          <w:bCs/>
          <w:sz w:val="24"/>
          <w:szCs w:val="24"/>
        </w:rPr>
      </w:pPr>
    </w:p>
    <w:p w:rsidR="008E49B0" w:rsidRPr="00FB6CBA" w:rsidRDefault="00FB6CBA" w:rsidP="00FB6CBA">
      <w:pPr>
        <w:pStyle w:val="Balk2"/>
        <w:tabs>
          <w:tab w:val="left" w:pos="284"/>
        </w:tabs>
        <w:spacing w:line="252" w:lineRule="exact"/>
        <w:ind w:left="0" w:right="14" w:firstLine="426"/>
        <w:jc w:val="center"/>
        <w:rPr>
          <w:rFonts w:cs="Times New Roman"/>
          <w:b w:val="0"/>
          <w:bCs w:val="0"/>
          <w:sz w:val="24"/>
          <w:szCs w:val="24"/>
        </w:rPr>
      </w:pPr>
      <w:r w:rsidRPr="00FB6CBA">
        <w:rPr>
          <w:rFonts w:cs="Times New Roman"/>
          <w:sz w:val="24"/>
          <w:szCs w:val="24"/>
        </w:rPr>
        <w:t>SECTION ONE</w:t>
      </w:r>
    </w:p>
    <w:p w:rsidR="008E49B0" w:rsidRPr="00FB6CBA" w:rsidRDefault="00FB6CBA" w:rsidP="00FB6CBA">
      <w:pPr>
        <w:tabs>
          <w:tab w:val="left" w:pos="284"/>
        </w:tabs>
        <w:spacing w:line="252" w:lineRule="exact"/>
        <w:ind w:right="14" w:firstLine="426"/>
        <w:jc w:val="center"/>
        <w:rPr>
          <w:rFonts w:ascii="Times New Roman" w:eastAsia="Times New Roman" w:hAnsi="Times New Roman" w:cs="Times New Roman"/>
          <w:sz w:val="24"/>
          <w:szCs w:val="24"/>
        </w:rPr>
      </w:pPr>
      <w:r w:rsidRPr="00FB6CBA">
        <w:rPr>
          <w:rFonts w:ascii="Times New Roman" w:hAnsi="Times New Roman" w:cs="Times New Roman"/>
          <w:b/>
          <w:sz w:val="24"/>
          <w:szCs w:val="24"/>
        </w:rPr>
        <w:t>Purpose, Scope, Basis and Definitions</w:t>
      </w:r>
    </w:p>
    <w:p w:rsidR="008E49B0" w:rsidRPr="00FB6CBA" w:rsidRDefault="008E49B0" w:rsidP="00FB6CBA">
      <w:pPr>
        <w:tabs>
          <w:tab w:val="left" w:pos="284"/>
        </w:tabs>
        <w:ind w:right="14" w:firstLine="426"/>
        <w:rPr>
          <w:rFonts w:ascii="Times New Roman" w:eastAsia="Times New Roman" w:hAnsi="Times New Roman" w:cs="Times New Roman"/>
          <w:b/>
          <w:bCs/>
          <w:sz w:val="24"/>
          <w:szCs w:val="24"/>
        </w:rPr>
      </w:pPr>
    </w:p>
    <w:p w:rsidR="008E49B0" w:rsidRPr="00FB6CBA" w:rsidRDefault="00FB6CBA" w:rsidP="00FB6CBA">
      <w:pPr>
        <w:tabs>
          <w:tab w:val="left" w:pos="284"/>
        </w:tabs>
        <w:spacing w:line="250" w:lineRule="exact"/>
        <w:ind w:right="14" w:firstLine="426"/>
        <w:rPr>
          <w:rFonts w:ascii="Times New Roman" w:eastAsia="Times New Roman" w:hAnsi="Times New Roman" w:cs="Times New Roman"/>
          <w:sz w:val="24"/>
          <w:szCs w:val="24"/>
        </w:rPr>
      </w:pPr>
      <w:r w:rsidRPr="00FB6CBA">
        <w:rPr>
          <w:rFonts w:ascii="Times New Roman" w:hAnsi="Times New Roman" w:cs="Times New Roman"/>
          <w:b/>
          <w:sz w:val="24"/>
          <w:szCs w:val="24"/>
        </w:rPr>
        <w:t>Purpose</w:t>
      </w:r>
    </w:p>
    <w:p w:rsidR="008E49B0" w:rsidRPr="00FB6CBA" w:rsidRDefault="00FB6CBA" w:rsidP="00FB6CBA">
      <w:pPr>
        <w:pStyle w:val="GvdeMetni"/>
        <w:tabs>
          <w:tab w:val="left" w:pos="284"/>
        </w:tabs>
        <w:ind w:left="0" w:right="14" w:firstLine="426"/>
        <w:rPr>
          <w:rFonts w:cs="Times New Roman"/>
          <w:sz w:val="24"/>
          <w:szCs w:val="24"/>
        </w:rPr>
      </w:pPr>
      <w:r w:rsidRPr="00FB6CBA">
        <w:rPr>
          <w:rFonts w:cs="Times New Roman"/>
          <w:b/>
          <w:sz w:val="24"/>
          <w:szCs w:val="24"/>
        </w:rPr>
        <w:t xml:space="preserve">ARTICLE 1 - </w:t>
      </w:r>
      <w:r w:rsidRPr="00FB6CBA">
        <w:rPr>
          <w:rFonts w:cs="Times New Roman"/>
          <w:sz w:val="24"/>
          <w:szCs w:val="24"/>
        </w:rPr>
        <w:t>(1) The purpose of this Directive is to regulate the principles regarding the ranking procedures of successful graduates of Atılım University schools, or students meeting the requirements for graduation.</w:t>
      </w:r>
    </w:p>
    <w:p w:rsidR="008E49B0" w:rsidRPr="00FB6CBA" w:rsidRDefault="008E49B0" w:rsidP="00FB6CBA">
      <w:pPr>
        <w:tabs>
          <w:tab w:val="left" w:pos="284"/>
        </w:tabs>
        <w:spacing w:before="5"/>
        <w:ind w:right="14" w:firstLine="426"/>
        <w:rPr>
          <w:rFonts w:ascii="Times New Roman" w:eastAsia="Times New Roman" w:hAnsi="Times New Roman" w:cs="Times New Roman"/>
          <w:sz w:val="24"/>
          <w:szCs w:val="24"/>
        </w:rPr>
      </w:pPr>
    </w:p>
    <w:p w:rsidR="008E49B0" w:rsidRPr="00FB6CBA" w:rsidRDefault="00FB6CBA" w:rsidP="00FB6CBA">
      <w:pPr>
        <w:pStyle w:val="Balk2"/>
        <w:tabs>
          <w:tab w:val="left" w:pos="284"/>
        </w:tabs>
        <w:spacing w:line="250" w:lineRule="exact"/>
        <w:ind w:left="0" w:right="14" w:firstLine="426"/>
        <w:rPr>
          <w:rFonts w:cs="Times New Roman"/>
          <w:b w:val="0"/>
          <w:bCs w:val="0"/>
          <w:sz w:val="24"/>
          <w:szCs w:val="24"/>
        </w:rPr>
      </w:pPr>
      <w:r w:rsidRPr="00FB6CBA">
        <w:rPr>
          <w:rFonts w:cs="Times New Roman"/>
          <w:sz w:val="24"/>
          <w:szCs w:val="24"/>
        </w:rPr>
        <w:t>Scope</w:t>
      </w:r>
    </w:p>
    <w:p w:rsidR="008E49B0" w:rsidRPr="00FB6CBA" w:rsidRDefault="00FB6CBA" w:rsidP="00FB6CBA">
      <w:pPr>
        <w:pStyle w:val="GvdeMetni"/>
        <w:tabs>
          <w:tab w:val="left" w:pos="284"/>
        </w:tabs>
        <w:spacing w:line="242" w:lineRule="auto"/>
        <w:ind w:left="0" w:right="14" w:firstLine="426"/>
        <w:jc w:val="both"/>
        <w:rPr>
          <w:rFonts w:cs="Times New Roman"/>
          <w:sz w:val="24"/>
          <w:szCs w:val="24"/>
        </w:rPr>
      </w:pPr>
      <w:r w:rsidRPr="00FB6CBA">
        <w:rPr>
          <w:rFonts w:cs="Times New Roman"/>
          <w:b/>
          <w:sz w:val="24"/>
          <w:szCs w:val="24"/>
        </w:rPr>
        <w:t>ARTICLE 2 -</w:t>
      </w:r>
      <w:r w:rsidRPr="00FB6CBA">
        <w:rPr>
          <w:rFonts w:cs="Times New Roman"/>
          <w:sz w:val="24"/>
          <w:szCs w:val="24"/>
        </w:rPr>
        <w:t xml:space="preserve"> This Directive covers the issues </w:t>
      </w:r>
      <w:r w:rsidRPr="00FB6CBA">
        <w:rPr>
          <w:rFonts w:cs="Times New Roman"/>
          <w:sz w:val="24"/>
          <w:szCs w:val="24"/>
        </w:rPr>
        <w:t>regarding the graduation rankings of successful graduates of Atılım University schools.</w:t>
      </w:r>
    </w:p>
    <w:p w:rsidR="008E49B0" w:rsidRPr="00FB6CBA" w:rsidRDefault="008E49B0" w:rsidP="00FB6CBA">
      <w:pPr>
        <w:tabs>
          <w:tab w:val="left" w:pos="284"/>
        </w:tabs>
        <w:spacing w:before="3"/>
        <w:ind w:right="14" w:firstLine="426"/>
        <w:rPr>
          <w:rFonts w:ascii="Times New Roman" w:eastAsia="Times New Roman" w:hAnsi="Times New Roman" w:cs="Times New Roman"/>
          <w:sz w:val="24"/>
          <w:szCs w:val="24"/>
        </w:rPr>
      </w:pPr>
    </w:p>
    <w:p w:rsidR="008E49B0" w:rsidRPr="00FB6CBA" w:rsidRDefault="00FB6CBA" w:rsidP="00FB6CBA">
      <w:pPr>
        <w:pStyle w:val="Balk2"/>
        <w:tabs>
          <w:tab w:val="left" w:pos="284"/>
        </w:tabs>
        <w:spacing w:line="250" w:lineRule="exact"/>
        <w:ind w:left="0" w:right="14" w:firstLine="426"/>
        <w:rPr>
          <w:rFonts w:cs="Times New Roman"/>
          <w:b w:val="0"/>
          <w:bCs w:val="0"/>
          <w:sz w:val="24"/>
          <w:szCs w:val="24"/>
        </w:rPr>
      </w:pPr>
      <w:r w:rsidRPr="00FB6CBA">
        <w:rPr>
          <w:rFonts w:cs="Times New Roman"/>
          <w:sz w:val="24"/>
          <w:szCs w:val="24"/>
        </w:rPr>
        <w:t>Basis</w:t>
      </w:r>
    </w:p>
    <w:p w:rsidR="008E49B0" w:rsidRPr="00FB6CBA" w:rsidRDefault="00FB6CBA" w:rsidP="00FB6CBA">
      <w:pPr>
        <w:pStyle w:val="GvdeMetni"/>
        <w:tabs>
          <w:tab w:val="left" w:pos="284"/>
        </w:tabs>
        <w:spacing w:line="242" w:lineRule="auto"/>
        <w:ind w:left="0" w:right="14" w:firstLine="426"/>
        <w:jc w:val="both"/>
        <w:rPr>
          <w:rFonts w:cs="Times New Roman"/>
          <w:sz w:val="24"/>
          <w:szCs w:val="24"/>
        </w:rPr>
      </w:pPr>
      <w:r w:rsidRPr="00FB6CBA">
        <w:rPr>
          <w:rFonts w:cs="Times New Roman"/>
          <w:b/>
          <w:sz w:val="24"/>
          <w:szCs w:val="24"/>
        </w:rPr>
        <w:t xml:space="preserve">ARTICLE 3 - </w:t>
      </w:r>
      <w:r w:rsidRPr="00FB6CBA">
        <w:rPr>
          <w:rFonts w:cs="Times New Roman"/>
          <w:sz w:val="24"/>
          <w:szCs w:val="24"/>
        </w:rPr>
        <w:t>(1) This Directive is based on the articles of “Atılım University Regulations on Associate and Undergraduate Degree Education and Examination” regard</w:t>
      </w:r>
      <w:r w:rsidRPr="00FB6CBA">
        <w:rPr>
          <w:rFonts w:cs="Times New Roman"/>
          <w:sz w:val="24"/>
          <w:szCs w:val="24"/>
        </w:rPr>
        <w:t>ing grade point averages and graduations.</w:t>
      </w:r>
    </w:p>
    <w:p w:rsidR="008E49B0" w:rsidRPr="00FB6CBA" w:rsidRDefault="008E49B0" w:rsidP="00FB6CBA">
      <w:pPr>
        <w:tabs>
          <w:tab w:val="left" w:pos="284"/>
        </w:tabs>
        <w:ind w:right="14" w:firstLine="426"/>
        <w:rPr>
          <w:rFonts w:ascii="Times New Roman" w:eastAsia="Times New Roman" w:hAnsi="Times New Roman" w:cs="Times New Roman"/>
          <w:sz w:val="24"/>
          <w:szCs w:val="24"/>
        </w:rPr>
      </w:pPr>
    </w:p>
    <w:p w:rsidR="008E49B0" w:rsidRPr="00FB6CBA" w:rsidRDefault="00FB6CBA" w:rsidP="00FB6CBA">
      <w:pPr>
        <w:pStyle w:val="Balk2"/>
        <w:tabs>
          <w:tab w:val="left" w:pos="284"/>
        </w:tabs>
        <w:spacing w:line="251" w:lineRule="exact"/>
        <w:ind w:left="0" w:right="14" w:firstLine="426"/>
        <w:rPr>
          <w:rFonts w:cs="Times New Roman"/>
          <w:b w:val="0"/>
          <w:bCs w:val="0"/>
          <w:sz w:val="24"/>
          <w:szCs w:val="24"/>
        </w:rPr>
      </w:pPr>
      <w:r w:rsidRPr="00FB6CBA">
        <w:rPr>
          <w:rFonts w:cs="Times New Roman"/>
          <w:sz w:val="24"/>
          <w:szCs w:val="24"/>
        </w:rPr>
        <w:t>Definitions</w:t>
      </w:r>
    </w:p>
    <w:p w:rsidR="008E49B0" w:rsidRPr="00FB6CBA" w:rsidRDefault="00FB6CBA" w:rsidP="00FB6CBA">
      <w:pPr>
        <w:tabs>
          <w:tab w:val="left" w:pos="284"/>
        </w:tabs>
        <w:spacing w:line="250" w:lineRule="exact"/>
        <w:ind w:right="14" w:firstLine="426"/>
        <w:rPr>
          <w:rFonts w:ascii="Times New Roman" w:eastAsia="Times New Roman" w:hAnsi="Times New Roman" w:cs="Times New Roman"/>
          <w:sz w:val="24"/>
          <w:szCs w:val="24"/>
        </w:rPr>
      </w:pPr>
      <w:r w:rsidRPr="00FB6CBA">
        <w:rPr>
          <w:rFonts w:ascii="Times New Roman" w:hAnsi="Times New Roman" w:cs="Times New Roman"/>
          <w:b/>
          <w:sz w:val="24"/>
          <w:szCs w:val="24"/>
        </w:rPr>
        <w:t xml:space="preserve">ARTICLE 4 - </w:t>
      </w:r>
      <w:r w:rsidRPr="00FB6CBA">
        <w:rPr>
          <w:rFonts w:ascii="Times New Roman" w:hAnsi="Times New Roman" w:cs="Times New Roman"/>
          <w:sz w:val="24"/>
          <w:szCs w:val="24"/>
        </w:rPr>
        <w:t>The definitions for this Directive are:</w:t>
      </w:r>
    </w:p>
    <w:p w:rsidR="008E49B0" w:rsidRPr="00FB6CBA" w:rsidRDefault="00FB6CBA" w:rsidP="00FB6CBA">
      <w:pPr>
        <w:pStyle w:val="ListeParagraf"/>
        <w:numPr>
          <w:ilvl w:val="0"/>
          <w:numId w:val="2"/>
        </w:numPr>
        <w:tabs>
          <w:tab w:val="left" w:pos="284"/>
          <w:tab w:val="left" w:pos="837"/>
        </w:tabs>
        <w:ind w:left="0" w:right="14" w:firstLine="426"/>
        <w:jc w:val="both"/>
        <w:rPr>
          <w:rFonts w:ascii="Times New Roman" w:eastAsia="Times New Roman" w:hAnsi="Times New Roman" w:cs="Times New Roman"/>
          <w:sz w:val="24"/>
          <w:szCs w:val="24"/>
        </w:rPr>
      </w:pPr>
      <w:r w:rsidRPr="00FB6CBA">
        <w:rPr>
          <w:rFonts w:ascii="Times New Roman" w:hAnsi="Times New Roman" w:cs="Times New Roman"/>
          <w:sz w:val="24"/>
          <w:szCs w:val="24"/>
        </w:rPr>
        <w:t xml:space="preserve">Graduation Rankings: </w:t>
      </w:r>
      <w:r w:rsidRPr="00FB6CBA">
        <w:rPr>
          <w:rFonts w:ascii="Times New Roman" w:hAnsi="Times New Roman" w:cs="Times New Roman"/>
          <w:sz w:val="24"/>
          <w:szCs w:val="24"/>
        </w:rPr>
        <w:t>The graduation rankings of associate and undergraduate students graduating from departments/ programs affiliated with schools at the graduation ceremony held every year on the date specified in the academic calendar,</w:t>
      </w:r>
    </w:p>
    <w:p w:rsidR="008E49B0" w:rsidRPr="00FB6CBA" w:rsidRDefault="00FB6CBA" w:rsidP="00FB6CBA">
      <w:pPr>
        <w:pStyle w:val="ListeParagraf"/>
        <w:numPr>
          <w:ilvl w:val="0"/>
          <w:numId w:val="2"/>
        </w:numPr>
        <w:tabs>
          <w:tab w:val="left" w:pos="284"/>
          <w:tab w:val="left" w:pos="837"/>
        </w:tabs>
        <w:ind w:left="0" w:right="14" w:firstLine="426"/>
        <w:jc w:val="both"/>
        <w:rPr>
          <w:rFonts w:ascii="Times New Roman" w:eastAsia="Times New Roman" w:hAnsi="Times New Roman" w:cs="Times New Roman"/>
          <w:sz w:val="24"/>
          <w:szCs w:val="24"/>
        </w:rPr>
      </w:pPr>
      <w:r w:rsidRPr="00FB6CBA">
        <w:rPr>
          <w:rFonts w:ascii="Times New Roman" w:hAnsi="Times New Roman" w:cs="Times New Roman"/>
          <w:sz w:val="24"/>
          <w:szCs w:val="24"/>
        </w:rPr>
        <w:t>Student Achievement Award: The award gi</w:t>
      </w:r>
      <w:r w:rsidRPr="00FB6CBA">
        <w:rPr>
          <w:rFonts w:ascii="Times New Roman" w:hAnsi="Times New Roman" w:cs="Times New Roman"/>
          <w:sz w:val="24"/>
          <w:szCs w:val="24"/>
        </w:rPr>
        <w:t xml:space="preserve">ven at the graduation ceremony held every year on the date specified in the academic calendar, to the graduating associate and undergraduate degree students of departments/ programs affiliated to schools, for ranking 1st, 2nd and 3rd in their schools, and </w:t>
      </w:r>
      <w:r w:rsidRPr="00FB6CBA">
        <w:rPr>
          <w:rFonts w:ascii="Times New Roman" w:hAnsi="Times New Roman" w:cs="Times New Roman"/>
          <w:sz w:val="24"/>
          <w:szCs w:val="24"/>
        </w:rPr>
        <w:t>1st in their departments / programs.</w:t>
      </w:r>
    </w:p>
    <w:p w:rsidR="008E49B0" w:rsidRPr="00FB6CBA" w:rsidRDefault="008E49B0" w:rsidP="00FB6CBA">
      <w:pPr>
        <w:tabs>
          <w:tab w:val="left" w:pos="284"/>
        </w:tabs>
        <w:spacing w:before="6"/>
        <w:ind w:right="14" w:firstLine="426"/>
        <w:rPr>
          <w:rFonts w:ascii="Times New Roman" w:eastAsia="Times New Roman" w:hAnsi="Times New Roman" w:cs="Times New Roman"/>
          <w:sz w:val="24"/>
          <w:szCs w:val="24"/>
        </w:rPr>
      </w:pPr>
    </w:p>
    <w:p w:rsidR="008E49B0" w:rsidRPr="00FB6CBA" w:rsidRDefault="00FB6CBA" w:rsidP="00FB6CBA">
      <w:pPr>
        <w:pStyle w:val="Balk2"/>
        <w:tabs>
          <w:tab w:val="left" w:pos="284"/>
        </w:tabs>
        <w:spacing w:line="252" w:lineRule="exact"/>
        <w:ind w:left="0" w:right="14" w:firstLine="426"/>
        <w:jc w:val="center"/>
        <w:rPr>
          <w:rFonts w:cs="Times New Roman"/>
          <w:b w:val="0"/>
          <w:bCs w:val="0"/>
          <w:sz w:val="24"/>
          <w:szCs w:val="24"/>
        </w:rPr>
      </w:pPr>
      <w:r w:rsidRPr="00FB6CBA">
        <w:rPr>
          <w:rFonts w:cs="Times New Roman"/>
          <w:sz w:val="24"/>
          <w:szCs w:val="24"/>
        </w:rPr>
        <w:t>SECTION TWO</w:t>
      </w:r>
    </w:p>
    <w:p w:rsidR="008E49B0" w:rsidRPr="00FB6CBA" w:rsidRDefault="00FB6CBA" w:rsidP="00FB6CBA">
      <w:pPr>
        <w:tabs>
          <w:tab w:val="left" w:pos="284"/>
        </w:tabs>
        <w:spacing w:line="252" w:lineRule="exact"/>
        <w:ind w:right="14" w:firstLine="426"/>
        <w:jc w:val="center"/>
        <w:rPr>
          <w:rFonts w:ascii="Times New Roman" w:eastAsia="Times New Roman" w:hAnsi="Times New Roman" w:cs="Times New Roman"/>
          <w:sz w:val="24"/>
          <w:szCs w:val="24"/>
        </w:rPr>
      </w:pPr>
      <w:r w:rsidRPr="00FB6CBA">
        <w:rPr>
          <w:rFonts w:ascii="Times New Roman" w:hAnsi="Times New Roman" w:cs="Times New Roman"/>
          <w:b/>
          <w:sz w:val="24"/>
          <w:szCs w:val="24"/>
        </w:rPr>
        <w:t>General Principles - Conditions</w:t>
      </w:r>
    </w:p>
    <w:p w:rsidR="008E49B0" w:rsidRPr="00FB6CBA" w:rsidRDefault="008E49B0" w:rsidP="00FB6CBA">
      <w:pPr>
        <w:tabs>
          <w:tab w:val="left" w:pos="284"/>
        </w:tabs>
        <w:ind w:right="14" w:firstLine="426"/>
        <w:rPr>
          <w:rFonts w:ascii="Times New Roman" w:eastAsia="Times New Roman" w:hAnsi="Times New Roman" w:cs="Times New Roman"/>
          <w:b/>
          <w:bCs/>
          <w:sz w:val="24"/>
          <w:szCs w:val="24"/>
        </w:rPr>
      </w:pPr>
    </w:p>
    <w:p w:rsidR="008E49B0" w:rsidRPr="00FB6CBA" w:rsidRDefault="00FB6CBA" w:rsidP="00FB6CBA">
      <w:pPr>
        <w:tabs>
          <w:tab w:val="left" w:pos="284"/>
        </w:tabs>
        <w:spacing w:line="251" w:lineRule="exact"/>
        <w:ind w:right="14" w:firstLine="426"/>
        <w:rPr>
          <w:rFonts w:ascii="Times New Roman" w:eastAsia="Times New Roman" w:hAnsi="Times New Roman" w:cs="Times New Roman"/>
          <w:sz w:val="24"/>
          <w:szCs w:val="24"/>
        </w:rPr>
      </w:pPr>
      <w:r w:rsidRPr="00FB6CBA">
        <w:rPr>
          <w:rFonts w:ascii="Times New Roman" w:hAnsi="Times New Roman" w:cs="Times New Roman"/>
          <w:b/>
          <w:sz w:val="24"/>
          <w:szCs w:val="24"/>
        </w:rPr>
        <w:t>General principles</w:t>
      </w:r>
    </w:p>
    <w:p w:rsidR="008E49B0" w:rsidRPr="00FB6CBA" w:rsidRDefault="00FB6CBA" w:rsidP="00FB6CBA">
      <w:pPr>
        <w:pStyle w:val="GvdeMetni"/>
        <w:tabs>
          <w:tab w:val="left" w:pos="284"/>
        </w:tabs>
        <w:ind w:left="0" w:right="14" w:firstLine="426"/>
        <w:jc w:val="both"/>
        <w:rPr>
          <w:rFonts w:cs="Times New Roman"/>
          <w:sz w:val="24"/>
          <w:szCs w:val="24"/>
        </w:rPr>
      </w:pPr>
      <w:r w:rsidRPr="00FB6CBA">
        <w:rPr>
          <w:rFonts w:cs="Times New Roman"/>
          <w:b/>
          <w:sz w:val="24"/>
          <w:szCs w:val="24"/>
        </w:rPr>
        <w:t>ARTICLE 5 -</w:t>
      </w:r>
      <w:r w:rsidRPr="00FB6CBA">
        <w:rPr>
          <w:rFonts w:cs="Times New Roman"/>
          <w:sz w:val="24"/>
          <w:szCs w:val="24"/>
        </w:rPr>
        <w:t xml:space="preserve"> The Honorary Mention and Student Achievement Award are for students graduating from associate and undergraduate departments/programs affiliated with schools as of the graduation ceremony date specified in the academic calendar every year. Associate and un</w:t>
      </w:r>
      <w:r w:rsidRPr="00FB6CBA">
        <w:rPr>
          <w:rFonts w:cs="Times New Roman"/>
          <w:sz w:val="24"/>
          <w:szCs w:val="24"/>
        </w:rPr>
        <w:t>dergraduate student degree rankings are prepared separately.  Students who are eligible for graduation as per the provisions specified in Article 28 of Atılım University Regulations on Associate and Undergraduate Degree Education and Examination are ranked</w:t>
      </w:r>
      <w:r w:rsidRPr="00FB6CBA">
        <w:rPr>
          <w:rFonts w:cs="Times New Roman"/>
          <w:sz w:val="24"/>
          <w:szCs w:val="24"/>
        </w:rPr>
        <w:t xml:space="preserve"> with respect to their general grade point averages for the preparation of the lists of rankings of schools and departments.</w:t>
      </w:r>
    </w:p>
    <w:p w:rsidR="008E49B0" w:rsidRPr="00FB6CBA" w:rsidRDefault="008E49B0" w:rsidP="00FB6CBA">
      <w:pPr>
        <w:tabs>
          <w:tab w:val="left" w:pos="284"/>
        </w:tabs>
        <w:spacing w:before="10"/>
        <w:ind w:right="14" w:firstLine="426"/>
        <w:rPr>
          <w:rFonts w:ascii="Times New Roman" w:eastAsia="Times New Roman" w:hAnsi="Times New Roman" w:cs="Times New Roman"/>
          <w:sz w:val="24"/>
          <w:szCs w:val="24"/>
        </w:rPr>
      </w:pPr>
    </w:p>
    <w:p w:rsidR="008E49B0" w:rsidRPr="00FB6CBA" w:rsidRDefault="00FB6CBA" w:rsidP="00FB6CBA">
      <w:pPr>
        <w:pStyle w:val="GvdeMetni"/>
        <w:tabs>
          <w:tab w:val="left" w:pos="284"/>
        </w:tabs>
        <w:ind w:left="0" w:right="14" w:firstLine="426"/>
        <w:jc w:val="both"/>
        <w:rPr>
          <w:rFonts w:cs="Times New Roman"/>
          <w:sz w:val="24"/>
          <w:szCs w:val="24"/>
        </w:rPr>
      </w:pPr>
      <w:r w:rsidRPr="00FB6CBA">
        <w:rPr>
          <w:rFonts w:cs="Times New Roman"/>
          <w:sz w:val="24"/>
          <w:szCs w:val="24"/>
        </w:rPr>
        <w:t>Only undergraduate degree program students may qualify to rank among the top three graduates of the university. Graduates of assoc</w:t>
      </w:r>
      <w:r w:rsidRPr="00FB6CBA">
        <w:rPr>
          <w:rFonts w:cs="Times New Roman"/>
          <w:sz w:val="24"/>
          <w:szCs w:val="24"/>
        </w:rPr>
        <w:t>iate degree programs are not eligible for an</w:t>
      </w:r>
      <w:r w:rsidRPr="00FB6CBA">
        <w:rPr>
          <w:rFonts w:cs="Times New Roman"/>
          <w:sz w:val="24"/>
          <w:szCs w:val="24"/>
        </w:rPr>
        <w:t xml:space="preserve"> Honorary Mention or an Achievement Award.</w:t>
      </w:r>
    </w:p>
    <w:p w:rsidR="008E49B0" w:rsidRPr="00FB6CBA" w:rsidRDefault="008E49B0" w:rsidP="00FB6CBA">
      <w:pPr>
        <w:tabs>
          <w:tab w:val="left" w:pos="284"/>
        </w:tabs>
        <w:spacing w:before="1"/>
        <w:ind w:right="14" w:firstLine="426"/>
        <w:rPr>
          <w:rFonts w:ascii="Times New Roman" w:eastAsia="Times New Roman" w:hAnsi="Times New Roman" w:cs="Times New Roman"/>
          <w:sz w:val="24"/>
          <w:szCs w:val="24"/>
        </w:rPr>
      </w:pPr>
    </w:p>
    <w:p w:rsidR="008E49B0" w:rsidRDefault="00FB6CBA" w:rsidP="00FB6CBA">
      <w:pPr>
        <w:pStyle w:val="GvdeMetni"/>
        <w:tabs>
          <w:tab w:val="left" w:pos="284"/>
        </w:tabs>
        <w:ind w:left="0" w:right="14" w:firstLine="426"/>
        <w:jc w:val="both"/>
        <w:rPr>
          <w:rFonts w:cs="Times New Roman"/>
          <w:sz w:val="24"/>
          <w:szCs w:val="24"/>
        </w:rPr>
      </w:pPr>
      <w:r w:rsidRPr="00FB6CBA">
        <w:rPr>
          <w:rFonts w:cs="Times New Roman"/>
          <w:b/>
          <w:sz w:val="24"/>
          <w:szCs w:val="24"/>
        </w:rPr>
        <w:t>ARTICLE 6 -</w:t>
      </w:r>
      <w:r w:rsidRPr="00FB6CBA">
        <w:rPr>
          <w:rFonts w:cs="Times New Roman"/>
          <w:sz w:val="24"/>
          <w:szCs w:val="24"/>
        </w:rPr>
        <w:t xml:space="preserve"> Students gaining their eligibility for graduation by taking the “Make-up Examinations and/ or Additional (Re-)Examinations” of the Spring Semester in accordance with Article 26 of Atılım University Regulations on Associate and Undergraduate Degree Educati</w:t>
      </w:r>
      <w:r w:rsidRPr="00FB6CBA">
        <w:rPr>
          <w:rFonts w:cs="Times New Roman"/>
          <w:sz w:val="24"/>
          <w:szCs w:val="24"/>
        </w:rPr>
        <w:t>on and Examination are also included in these rankings.</w:t>
      </w:r>
    </w:p>
    <w:p w:rsidR="00FB6CBA" w:rsidRPr="00FB6CBA" w:rsidRDefault="00FB6CBA" w:rsidP="00FB6CBA">
      <w:pPr>
        <w:pStyle w:val="GvdeMetni"/>
        <w:tabs>
          <w:tab w:val="left" w:pos="284"/>
        </w:tabs>
        <w:ind w:left="0" w:right="14" w:firstLine="426"/>
        <w:jc w:val="both"/>
        <w:rPr>
          <w:rFonts w:cs="Times New Roman"/>
          <w:sz w:val="24"/>
          <w:szCs w:val="24"/>
        </w:rPr>
      </w:pPr>
    </w:p>
    <w:p w:rsidR="008E49B0" w:rsidRPr="00FB6CBA" w:rsidRDefault="008E49B0" w:rsidP="00FB6CBA">
      <w:pPr>
        <w:tabs>
          <w:tab w:val="left" w:pos="284"/>
        </w:tabs>
        <w:ind w:right="14" w:firstLine="426"/>
        <w:rPr>
          <w:rFonts w:ascii="Times New Roman" w:eastAsia="Times New Roman" w:hAnsi="Times New Roman" w:cs="Times New Roman"/>
          <w:sz w:val="24"/>
          <w:szCs w:val="24"/>
        </w:rPr>
      </w:pPr>
    </w:p>
    <w:p w:rsidR="008E49B0" w:rsidRPr="00FB6CBA" w:rsidRDefault="00FB6CBA" w:rsidP="00FB6CBA">
      <w:pPr>
        <w:pStyle w:val="GvdeMetni"/>
        <w:tabs>
          <w:tab w:val="left" w:pos="284"/>
        </w:tabs>
        <w:ind w:left="0" w:right="14" w:firstLine="426"/>
        <w:jc w:val="both"/>
        <w:rPr>
          <w:rFonts w:cs="Times New Roman"/>
          <w:sz w:val="24"/>
          <w:szCs w:val="24"/>
        </w:rPr>
      </w:pPr>
      <w:r w:rsidRPr="00FB6CBA">
        <w:rPr>
          <w:rFonts w:cs="Times New Roman"/>
          <w:sz w:val="24"/>
          <w:szCs w:val="24"/>
        </w:rPr>
        <w:lastRenderedPageBreak/>
        <w:t>Notifications and corrections regarding spring semester course grades are required to be submitted to the Directorate of Student Affairs by the deadline specified in the academic calendar. Change req</w:t>
      </w:r>
      <w:r w:rsidRPr="00FB6CBA">
        <w:rPr>
          <w:rFonts w:cs="Times New Roman"/>
          <w:sz w:val="24"/>
          <w:szCs w:val="24"/>
        </w:rPr>
        <w:t>uests received past the due date are not taken into account for the purposes relating to these rankings.</w:t>
      </w:r>
    </w:p>
    <w:p w:rsidR="00FB6CBA" w:rsidRDefault="00FB6CBA" w:rsidP="00FB6CBA">
      <w:pPr>
        <w:pStyle w:val="Balk1"/>
        <w:tabs>
          <w:tab w:val="left" w:pos="284"/>
        </w:tabs>
        <w:ind w:left="0" w:right="14" w:firstLine="426"/>
        <w:jc w:val="both"/>
        <w:rPr>
          <w:rFonts w:cs="Times New Roman"/>
          <w:b/>
        </w:rPr>
      </w:pPr>
    </w:p>
    <w:p w:rsidR="008E49B0" w:rsidRPr="00FB6CBA" w:rsidRDefault="00FB6CBA" w:rsidP="00FB6CBA">
      <w:pPr>
        <w:pStyle w:val="Balk1"/>
        <w:tabs>
          <w:tab w:val="left" w:pos="284"/>
        </w:tabs>
        <w:ind w:left="0" w:right="14" w:firstLine="426"/>
        <w:jc w:val="both"/>
        <w:rPr>
          <w:rFonts w:cs="Times New Roman"/>
        </w:rPr>
      </w:pPr>
      <w:r w:rsidRPr="00FB6CBA">
        <w:rPr>
          <w:rFonts w:cs="Times New Roman"/>
          <w:b/>
        </w:rPr>
        <w:t>ARTICLE 7 -</w:t>
      </w:r>
      <w:r w:rsidRPr="00FB6CBA">
        <w:rPr>
          <w:rFonts w:cs="Times New Roman"/>
        </w:rPr>
        <w:t xml:space="preserve"> If multiple students with the same general academic averages (down to the two digits after the decimal point) are to be ran</w:t>
      </w:r>
      <w:r w:rsidRPr="00FB6CBA">
        <w:rPr>
          <w:rFonts w:cs="Times New Roman"/>
        </w:rPr>
        <w:t>ked, these students share the same rank.</w:t>
      </w:r>
    </w:p>
    <w:p w:rsidR="008E49B0" w:rsidRPr="00FB6CBA" w:rsidRDefault="008E49B0" w:rsidP="00FB6CBA">
      <w:pPr>
        <w:tabs>
          <w:tab w:val="left" w:pos="284"/>
        </w:tabs>
        <w:spacing w:before="8"/>
        <w:ind w:right="14" w:firstLine="426"/>
        <w:rPr>
          <w:rFonts w:ascii="Times New Roman" w:eastAsia="Times New Roman" w:hAnsi="Times New Roman" w:cs="Times New Roman"/>
          <w:sz w:val="24"/>
          <w:szCs w:val="24"/>
        </w:rPr>
      </w:pPr>
    </w:p>
    <w:p w:rsidR="008E49B0" w:rsidRPr="00FB6CBA" w:rsidRDefault="00FB6CBA" w:rsidP="00FB6CBA">
      <w:pPr>
        <w:pStyle w:val="Balk2"/>
        <w:tabs>
          <w:tab w:val="left" w:pos="284"/>
        </w:tabs>
        <w:spacing w:line="250" w:lineRule="exact"/>
        <w:ind w:left="0" w:right="14" w:firstLine="426"/>
        <w:rPr>
          <w:rFonts w:cs="Times New Roman"/>
          <w:b w:val="0"/>
          <w:bCs w:val="0"/>
          <w:sz w:val="24"/>
          <w:szCs w:val="24"/>
        </w:rPr>
      </w:pPr>
      <w:r w:rsidRPr="00FB6CBA">
        <w:rPr>
          <w:rFonts w:cs="Times New Roman"/>
          <w:sz w:val="24"/>
          <w:szCs w:val="24"/>
        </w:rPr>
        <w:t>Conditions</w:t>
      </w:r>
    </w:p>
    <w:p w:rsidR="008E49B0" w:rsidRPr="00FB6CBA" w:rsidRDefault="00FB6CBA" w:rsidP="00FB6CBA">
      <w:pPr>
        <w:pStyle w:val="GvdeMetni"/>
        <w:tabs>
          <w:tab w:val="left" w:pos="284"/>
        </w:tabs>
        <w:spacing w:line="242" w:lineRule="auto"/>
        <w:ind w:left="0" w:right="14" w:firstLine="426"/>
        <w:jc w:val="both"/>
        <w:rPr>
          <w:rFonts w:cs="Times New Roman"/>
          <w:sz w:val="24"/>
          <w:szCs w:val="24"/>
        </w:rPr>
      </w:pPr>
      <w:r w:rsidRPr="00FB6CBA">
        <w:rPr>
          <w:rFonts w:cs="Times New Roman"/>
          <w:b/>
          <w:sz w:val="24"/>
          <w:szCs w:val="24"/>
        </w:rPr>
        <w:t>ARTICLE 8 -</w:t>
      </w:r>
      <w:r w:rsidRPr="00FB6CBA">
        <w:rPr>
          <w:rFonts w:cs="Times New Roman"/>
          <w:sz w:val="24"/>
          <w:szCs w:val="24"/>
        </w:rPr>
        <w:t xml:space="preserve"> At graduation, students are required to exhibit the following conditions in order to be considered a “Honorary Mention Student”, and receive a “Student Achievement Award”.</w:t>
      </w:r>
    </w:p>
    <w:p w:rsidR="008E49B0" w:rsidRPr="00FB6CBA" w:rsidRDefault="008E49B0" w:rsidP="00FB6CBA">
      <w:pPr>
        <w:tabs>
          <w:tab w:val="left" w:pos="284"/>
        </w:tabs>
        <w:spacing w:before="7"/>
        <w:ind w:right="14" w:firstLine="426"/>
        <w:rPr>
          <w:rFonts w:ascii="Times New Roman" w:eastAsia="Times New Roman" w:hAnsi="Times New Roman" w:cs="Times New Roman"/>
          <w:sz w:val="24"/>
          <w:szCs w:val="24"/>
        </w:rPr>
      </w:pPr>
    </w:p>
    <w:p w:rsidR="008E49B0" w:rsidRPr="00FB6CBA" w:rsidRDefault="00FB6CBA" w:rsidP="00FB6CBA">
      <w:pPr>
        <w:pStyle w:val="ListeParagraf"/>
        <w:numPr>
          <w:ilvl w:val="0"/>
          <w:numId w:val="1"/>
        </w:numPr>
        <w:tabs>
          <w:tab w:val="left" w:pos="284"/>
          <w:tab w:val="left" w:pos="726"/>
        </w:tabs>
        <w:ind w:left="0" w:right="14" w:firstLine="426"/>
        <w:rPr>
          <w:rFonts w:ascii="Times New Roman" w:eastAsia="Times New Roman" w:hAnsi="Times New Roman" w:cs="Times New Roman"/>
          <w:sz w:val="24"/>
          <w:szCs w:val="24"/>
        </w:rPr>
      </w:pPr>
      <w:r w:rsidRPr="00FB6CBA">
        <w:rPr>
          <w:rFonts w:ascii="Times New Roman" w:hAnsi="Times New Roman" w:cs="Times New Roman"/>
          <w:b/>
          <w:sz w:val="24"/>
          <w:szCs w:val="24"/>
        </w:rPr>
        <w:t xml:space="preserve">Period of study: </w:t>
      </w:r>
      <w:r w:rsidRPr="00FB6CBA">
        <w:rPr>
          <w:rFonts w:ascii="Times New Roman" w:hAnsi="Times New Roman" w:cs="Times New Roman"/>
          <w:sz w:val="24"/>
          <w:szCs w:val="24"/>
        </w:rPr>
        <w:t>E</w:t>
      </w:r>
      <w:r w:rsidRPr="00FB6CBA">
        <w:rPr>
          <w:rFonts w:ascii="Times New Roman" w:hAnsi="Times New Roman" w:cs="Times New Roman"/>
          <w:sz w:val="24"/>
          <w:szCs w:val="24"/>
        </w:rPr>
        <w:t>xcluding the preparatory courses; students are required to have completed their program in the normal predetermined period, or shorter (*) (**) (***),</w:t>
      </w:r>
    </w:p>
    <w:p w:rsidR="008E49B0" w:rsidRPr="00FB6CBA" w:rsidRDefault="008E49B0" w:rsidP="00FB6CBA">
      <w:pPr>
        <w:tabs>
          <w:tab w:val="left" w:pos="284"/>
        </w:tabs>
        <w:spacing w:before="5"/>
        <w:ind w:right="14" w:firstLine="426"/>
        <w:rPr>
          <w:rFonts w:ascii="Times New Roman" w:eastAsia="Times New Roman" w:hAnsi="Times New Roman" w:cs="Times New Roman"/>
          <w:sz w:val="24"/>
          <w:szCs w:val="24"/>
        </w:rPr>
      </w:pPr>
    </w:p>
    <w:p w:rsidR="008E49B0" w:rsidRPr="00FB6CBA" w:rsidRDefault="00FB6CBA" w:rsidP="00D10D80">
      <w:pPr>
        <w:pStyle w:val="Balk2"/>
        <w:numPr>
          <w:ilvl w:val="0"/>
          <w:numId w:val="1"/>
        </w:numPr>
        <w:tabs>
          <w:tab w:val="left" w:pos="284"/>
          <w:tab w:val="left" w:pos="728"/>
        </w:tabs>
        <w:spacing w:before="5"/>
        <w:ind w:left="0" w:right="14" w:firstLine="426"/>
        <w:jc w:val="both"/>
        <w:rPr>
          <w:rFonts w:cs="Times New Roman"/>
          <w:sz w:val="24"/>
          <w:szCs w:val="24"/>
        </w:rPr>
      </w:pPr>
      <w:r w:rsidRPr="00FB6CBA">
        <w:rPr>
          <w:rFonts w:cs="Times New Roman"/>
          <w:sz w:val="24"/>
          <w:szCs w:val="24"/>
        </w:rPr>
        <w:t>Disciplinary status:</w:t>
      </w:r>
      <w:r>
        <w:rPr>
          <w:rFonts w:cs="Times New Roman"/>
          <w:sz w:val="24"/>
          <w:szCs w:val="24"/>
        </w:rPr>
        <w:t xml:space="preserve"> </w:t>
      </w:r>
      <w:r w:rsidRPr="00FB6CBA">
        <w:rPr>
          <w:rFonts w:cs="Times New Roman"/>
          <w:b w:val="0"/>
          <w:sz w:val="24"/>
          <w:szCs w:val="24"/>
        </w:rPr>
        <w:t>Students are required to have received no disciplinary punishment throughout their</w:t>
      </w:r>
      <w:r>
        <w:rPr>
          <w:rFonts w:cs="Times New Roman"/>
          <w:b w:val="0"/>
          <w:sz w:val="24"/>
          <w:szCs w:val="24"/>
        </w:rPr>
        <w:t xml:space="preserve"> period of study.</w:t>
      </w:r>
    </w:p>
    <w:p w:rsidR="008E49B0" w:rsidRPr="00FB6CBA" w:rsidRDefault="008E49B0" w:rsidP="00FB6CBA">
      <w:pPr>
        <w:tabs>
          <w:tab w:val="left" w:pos="284"/>
        </w:tabs>
        <w:ind w:right="14" w:firstLine="426"/>
        <w:rPr>
          <w:rFonts w:ascii="Times New Roman" w:eastAsia="Times New Roman" w:hAnsi="Times New Roman" w:cs="Times New Roman"/>
          <w:sz w:val="24"/>
          <w:szCs w:val="24"/>
        </w:rPr>
      </w:pPr>
    </w:p>
    <w:p w:rsidR="008E49B0" w:rsidRPr="00FB6CBA" w:rsidRDefault="00FB6CBA" w:rsidP="00FB6CBA">
      <w:pPr>
        <w:pStyle w:val="GvdeMetni"/>
        <w:tabs>
          <w:tab w:val="left" w:pos="284"/>
        </w:tabs>
        <w:ind w:left="0" w:right="14" w:firstLine="426"/>
        <w:jc w:val="both"/>
        <w:rPr>
          <w:rFonts w:cs="Times New Roman"/>
          <w:sz w:val="24"/>
          <w:szCs w:val="24"/>
        </w:rPr>
      </w:pPr>
      <w:r w:rsidRPr="00FB6CBA">
        <w:rPr>
          <w:rFonts w:cs="Times New Roman"/>
          <w:b/>
          <w:sz w:val="24"/>
          <w:szCs w:val="24"/>
        </w:rPr>
        <w:t>ARTICLE 9 -</w:t>
      </w:r>
      <w:r w:rsidRPr="00FB6CBA">
        <w:rPr>
          <w:rFonts w:cs="Times New Roman"/>
          <w:sz w:val="24"/>
          <w:szCs w:val="24"/>
        </w:rPr>
        <w:t xml:space="preserve"> At a date later than their graduation ceremony, students earning graduation eligibility may choose to receive a "ranking letter" showing their rank among the graduates of the relevant academic program, in the relevant academic year, as of the requested da</w:t>
      </w:r>
      <w:r w:rsidRPr="00FB6CBA">
        <w:rPr>
          <w:rFonts w:cs="Times New Roman"/>
          <w:sz w:val="24"/>
          <w:szCs w:val="24"/>
        </w:rPr>
        <w:t>te. Regardless of their rankings, such students are not eligible for a “Student Achievement Award”.</w:t>
      </w:r>
    </w:p>
    <w:p w:rsidR="008E49B0" w:rsidRPr="00FB6CBA" w:rsidRDefault="008E49B0" w:rsidP="00FB6CBA">
      <w:pPr>
        <w:tabs>
          <w:tab w:val="left" w:pos="284"/>
        </w:tabs>
        <w:spacing w:before="5"/>
        <w:ind w:right="14" w:firstLine="426"/>
        <w:rPr>
          <w:rFonts w:ascii="Times New Roman" w:eastAsia="Times New Roman" w:hAnsi="Times New Roman" w:cs="Times New Roman"/>
          <w:sz w:val="24"/>
          <w:szCs w:val="24"/>
        </w:rPr>
      </w:pPr>
    </w:p>
    <w:p w:rsidR="008E49B0" w:rsidRPr="00FB6CBA" w:rsidRDefault="00FB6CBA" w:rsidP="00FB6CBA">
      <w:pPr>
        <w:tabs>
          <w:tab w:val="left" w:pos="284"/>
        </w:tabs>
        <w:spacing w:line="207" w:lineRule="exact"/>
        <w:ind w:right="14" w:firstLine="426"/>
        <w:jc w:val="center"/>
        <w:rPr>
          <w:rFonts w:ascii="Times New Roman" w:eastAsia="Times New Roman" w:hAnsi="Times New Roman" w:cs="Times New Roman"/>
          <w:sz w:val="24"/>
          <w:szCs w:val="24"/>
        </w:rPr>
      </w:pPr>
      <w:r w:rsidRPr="00FB6CBA">
        <w:rPr>
          <w:rFonts w:ascii="Times New Roman" w:hAnsi="Times New Roman" w:cs="Times New Roman"/>
          <w:b/>
          <w:sz w:val="24"/>
          <w:szCs w:val="24"/>
        </w:rPr>
        <w:t>SECTION THREE</w:t>
      </w:r>
    </w:p>
    <w:p w:rsidR="008E49B0" w:rsidRPr="00FB6CBA" w:rsidRDefault="00FB6CBA" w:rsidP="00FB6CBA">
      <w:pPr>
        <w:tabs>
          <w:tab w:val="left" w:pos="284"/>
        </w:tabs>
        <w:spacing w:line="207" w:lineRule="exact"/>
        <w:ind w:right="14" w:firstLine="426"/>
        <w:jc w:val="center"/>
        <w:rPr>
          <w:rFonts w:ascii="Times New Roman" w:eastAsia="Times New Roman" w:hAnsi="Times New Roman" w:cs="Times New Roman"/>
          <w:sz w:val="24"/>
          <w:szCs w:val="24"/>
        </w:rPr>
      </w:pPr>
      <w:bookmarkStart w:id="0" w:name="_GoBack"/>
      <w:bookmarkEnd w:id="0"/>
      <w:r w:rsidRPr="00FB6CBA">
        <w:rPr>
          <w:rFonts w:ascii="Times New Roman" w:hAnsi="Times New Roman" w:cs="Times New Roman"/>
          <w:b/>
          <w:sz w:val="24"/>
          <w:szCs w:val="24"/>
        </w:rPr>
        <w:t>Effective Date - Execution</w:t>
      </w:r>
    </w:p>
    <w:p w:rsidR="008E49B0" w:rsidRPr="00FB6CBA" w:rsidRDefault="008E49B0" w:rsidP="00FB6CBA">
      <w:pPr>
        <w:tabs>
          <w:tab w:val="left" w:pos="284"/>
        </w:tabs>
        <w:spacing w:before="1"/>
        <w:ind w:right="14" w:firstLine="426"/>
        <w:rPr>
          <w:rFonts w:ascii="Times New Roman" w:eastAsia="Times New Roman" w:hAnsi="Times New Roman" w:cs="Times New Roman"/>
          <w:b/>
          <w:bCs/>
          <w:sz w:val="24"/>
          <w:szCs w:val="24"/>
        </w:rPr>
      </w:pPr>
    </w:p>
    <w:p w:rsidR="008E49B0" w:rsidRPr="00FB6CBA" w:rsidRDefault="00FB6CBA" w:rsidP="00FB6CBA">
      <w:pPr>
        <w:tabs>
          <w:tab w:val="left" w:pos="284"/>
        </w:tabs>
        <w:spacing w:line="204" w:lineRule="exact"/>
        <w:ind w:right="14" w:firstLine="426"/>
        <w:jc w:val="both"/>
        <w:rPr>
          <w:rFonts w:ascii="Times New Roman" w:eastAsia="Times New Roman" w:hAnsi="Times New Roman" w:cs="Times New Roman"/>
          <w:sz w:val="24"/>
          <w:szCs w:val="24"/>
        </w:rPr>
      </w:pPr>
      <w:r w:rsidRPr="00FB6CBA">
        <w:rPr>
          <w:rFonts w:ascii="Times New Roman" w:hAnsi="Times New Roman" w:cs="Times New Roman"/>
          <w:b/>
          <w:sz w:val="24"/>
          <w:szCs w:val="24"/>
        </w:rPr>
        <w:t>Effective Date</w:t>
      </w:r>
    </w:p>
    <w:p w:rsidR="008E49B0" w:rsidRPr="00FB6CBA" w:rsidRDefault="00FB6CBA" w:rsidP="00FB6CBA">
      <w:pPr>
        <w:pStyle w:val="GvdeMetni"/>
        <w:tabs>
          <w:tab w:val="left" w:pos="284"/>
        </w:tabs>
        <w:spacing w:line="250" w:lineRule="exact"/>
        <w:ind w:left="0" w:right="14" w:firstLine="426"/>
        <w:jc w:val="both"/>
        <w:rPr>
          <w:rFonts w:cs="Times New Roman"/>
          <w:sz w:val="24"/>
          <w:szCs w:val="24"/>
        </w:rPr>
      </w:pPr>
      <w:r w:rsidRPr="00FB6CBA">
        <w:rPr>
          <w:rFonts w:cs="Times New Roman"/>
          <w:b/>
          <w:sz w:val="24"/>
          <w:szCs w:val="24"/>
        </w:rPr>
        <w:t xml:space="preserve">Article (10) - </w:t>
      </w:r>
      <w:r w:rsidRPr="00FB6CBA">
        <w:rPr>
          <w:rFonts w:cs="Times New Roman"/>
          <w:sz w:val="24"/>
          <w:szCs w:val="24"/>
        </w:rPr>
        <w:t>(1) This Directive shall take effect after its approval by the Atılım University Senate.</w:t>
      </w:r>
    </w:p>
    <w:p w:rsidR="008E49B0" w:rsidRPr="00FB6CBA" w:rsidRDefault="008E49B0" w:rsidP="00FB6CBA">
      <w:pPr>
        <w:tabs>
          <w:tab w:val="left" w:pos="284"/>
        </w:tabs>
        <w:spacing w:before="5"/>
        <w:ind w:right="14" w:firstLine="426"/>
        <w:rPr>
          <w:rFonts w:ascii="Times New Roman" w:eastAsia="Times New Roman" w:hAnsi="Times New Roman" w:cs="Times New Roman"/>
          <w:sz w:val="24"/>
          <w:szCs w:val="24"/>
        </w:rPr>
      </w:pPr>
    </w:p>
    <w:p w:rsidR="008E49B0" w:rsidRPr="00FB6CBA" w:rsidRDefault="00FB6CBA" w:rsidP="00FB6CBA">
      <w:pPr>
        <w:pStyle w:val="Balk2"/>
        <w:tabs>
          <w:tab w:val="left" w:pos="284"/>
        </w:tabs>
        <w:spacing w:line="250" w:lineRule="exact"/>
        <w:ind w:left="0" w:right="14" w:firstLine="426"/>
        <w:jc w:val="both"/>
        <w:rPr>
          <w:rFonts w:cs="Times New Roman"/>
          <w:b w:val="0"/>
          <w:bCs w:val="0"/>
          <w:sz w:val="24"/>
          <w:szCs w:val="24"/>
        </w:rPr>
      </w:pPr>
      <w:r w:rsidRPr="00FB6CBA">
        <w:rPr>
          <w:rFonts w:cs="Times New Roman"/>
          <w:sz w:val="24"/>
          <w:szCs w:val="24"/>
        </w:rPr>
        <w:t>Execution</w:t>
      </w:r>
    </w:p>
    <w:p w:rsidR="008E49B0" w:rsidRPr="00FB6CBA" w:rsidRDefault="00FB6CBA" w:rsidP="00FB6CBA">
      <w:pPr>
        <w:pStyle w:val="GvdeMetni"/>
        <w:tabs>
          <w:tab w:val="left" w:pos="284"/>
        </w:tabs>
        <w:spacing w:line="250" w:lineRule="exact"/>
        <w:ind w:left="0" w:right="14" w:firstLine="426"/>
        <w:jc w:val="both"/>
        <w:rPr>
          <w:rFonts w:cs="Times New Roman"/>
          <w:sz w:val="24"/>
          <w:szCs w:val="24"/>
        </w:rPr>
      </w:pPr>
      <w:r w:rsidRPr="00FB6CBA">
        <w:rPr>
          <w:rFonts w:cs="Times New Roman"/>
          <w:b/>
          <w:sz w:val="24"/>
          <w:szCs w:val="24"/>
        </w:rPr>
        <w:t xml:space="preserve">ARTICLE 11 - </w:t>
      </w:r>
      <w:r w:rsidRPr="00FB6CBA">
        <w:rPr>
          <w:rFonts w:cs="Times New Roman"/>
          <w:sz w:val="24"/>
          <w:szCs w:val="24"/>
        </w:rPr>
        <w:t>(</w:t>
      </w:r>
      <w:r w:rsidRPr="00FB6CBA">
        <w:rPr>
          <w:rFonts w:cs="Times New Roman"/>
          <w:sz w:val="24"/>
          <w:szCs w:val="24"/>
        </w:rPr>
        <w:t>1) This Directive is executed by the President of Atılım University.</w:t>
      </w:r>
    </w:p>
    <w:p w:rsidR="008E49B0" w:rsidRPr="00FB6CBA" w:rsidRDefault="008E49B0" w:rsidP="00FB6CBA">
      <w:pPr>
        <w:tabs>
          <w:tab w:val="left" w:pos="284"/>
        </w:tabs>
        <w:ind w:right="14" w:firstLine="426"/>
        <w:rPr>
          <w:rFonts w:ascii="Times New Roman" w:eastAsia="Times New Roman" w:hAnsi="Times New Roman" w:cs="Times New Roman"/>
          <w:sz w:val="24"/>
          <w:szCs w:val="24"/>
        </w:rPr>
      </w:pPr>
    </w:p>
    <w:p w:rsidR="008E49B0" w:rsidRPr="00FB6CBA" w:rsidRDefault="00FB6CBA" w:rsidP="00FB6CBA">
      <w:pPr>
        <w:pStyle w:val="GvdeMetni"/>
        <w:tabs>
          <w:tab w:val="left" w:pos="284"/>
        </w:tabs>
        <w:ind w:left="0" w:right="14" w:firstLine="426"/>
        <w:jc w:val="both"/>
        <w:rPr>
          <w:rFonts w:cs="Times New Roman"/>
          <w:sz w:val="24"/>
          <w:szCs w:val="24"/>
        </w:rPr>
      </w:pPr>
      <w:r w:rsidRPr="00FB6CBA">
        <w:rPr>
          <w:rFonts w:cs="Times New Roman"/>
          <w:sz w:val="24"/>
          <w:szCs w:val="24"/>
        </w:rPr>
        <w:t>(*) Students having completed their English Preparatory education at th</w:t>
      </w:r>
      <w:r w:rsidRPr="00FB6CBA">
        <w:rPr>
          <w:rFonts w:cs="Times New Roman"/>
          <w:sz w:val="24"/>
          <w:szCs w:val="24"/>
        </w:rPr>
        <w:t>e end of the Fall Semester and advanced to their program studies without suspending their registration, and therefore having extended their period of study for one semester due to having taken some courses in their curriculum with a delay, are excluded fro</w:t>
      </w:r>
      <w:r w:rsidRPr="00FB6CBA">
        <w:rPr>
          <w:rFonts w:cs="Times New Roman"/>
          <w:sz w:val="24"/>
          <w:szCs w:val="24"/>
        </w:rPr>
        <w:t>m this scope.</w:t>
      </w:r>
    </w:p>
    <w:p w:rsidR="008E49B0" w:rsidRPr="00FB6CBA" w:rsidRDefault="008E49B0" w:rsidP="00FB6CBA">
      <w:pPr>
        <w:tabs>
          <w:tab w:val="left" w:pos="284"/>
        </w:tabs>
        <w:spacing w:before="1"/>
        <w:ind w:right="14" w:firstLine="426"/>
        <w:rPr>
          <w:rFonts w:ascii="Times New Roman" w:eastAsia="Times New Roman" w:hAnsi="Times New Roman" w:cs="Times New Roman"/>
          <w:sz w:val="24"/>
          <w:szCs w:val="24"/>
        </w:rPr>
      </w:pPr>
    </w:p>
    <w:p w:rsidR="008E49B0" w:rsidRPr="00FB6CBA" w:rsidRDefault="00FB6CBA" w:rsidP="00FB6CBA">
      <w:pPr>
        <w:pStyle w:val="GvdeMetni"/>
        <w:tabs>
          <w:tab w:val="left" w:pos="284"/>
        </w:tabs>
        <w:ind w:left="0" w:right="14" w:firstLine="426"/>
        <w:rPr>
          <w:rFonts w:cs="Times New Roman"/>
          <w:sz w:val="24"/>
          <w:szCs w:val="24"/>
        </w:rPr>
      </w:pPr>
      <w:r w:rsidRPr="00FB6CBA">
        <w:rPr>
          <w:rFonts w:cs="Times New Roman"/>
          <w:sz w:val="24"/>
          <w:szCs w:val="24"/>
        </w:rPr>
        <w:t>(**) Students having participated in exchange programs such as Erasmus, or Farabi, during part of their education are excluded from this scope.</w:t>
      </w:r>
      <w:r w:rsidRPr="00FB6CBA">
        <w:rPr>
          <w:rFonts w:cs="Times New Roman"/>
          <w:sz w:val="24"/>
          <w:szCs w:val="24"/>
        </w:rPr>
        <w:t xml:space="preserve"> </w:t>
      </w:r>
    </w:p>
    <w:p w:rsidR="008E49B0" w:rsidRPr="00FB6CBA" w:rsidRDefault="008E49B0" w:rsidP="00FB6CBA">
      <w:pPr>
        <w:tabs>
          <w:tab w:val="left" w:pos="284"/>
        </w:tabs>
        <w:spacing w:before="8"/>
        <w:ind w:right="14" w:firstLine="426"/>
        <w:rPr>
          <w:rFonts w:ascii="Times New Roman" w:eastAsia="Times New Roman" w:hAnsi="Times New Roman" w:cs="Times New Roman"/>
          <w:sz w:val="24"/>
          <w:szCs w:val="24"/>
        </w:rPr>
      </w:pPr>
    </w:p>
    <w:p w:rsidR="008E49B0" w:rsidRPr="00FB6CBA" w:rsidRDefault="00FB6CBA" w:rsidP="00FB6CBA">
      <w:pPr>
        <w:pStyle w:val="GvdeMetni"/>
        <w:tabs>
          <w:tab w:val="left" w:pos="284"/>
        </w:tabs>
        <w:ind w:left="0" w:right="14" w:firstLine="426"/>
        <w:rPr>
          <w:rFonts w:cs="Times New Roman"/>
          <w:sz w:val="24"/>
          <w:szCs w:val="24"/>
        </w:rPr>
      </w:pPr>
      <w:r w:rsidRPr="00FB6CBA">
        <w:rPr>
          <w:rFonts w:cs="Times New Roman"/>
          <w:sz w:val="24"/>
          <w:szCs w:val="24"/>
        </w:rPr>
        <w:t>(***) Students enrolled in Double Major Programs may be eligible to become “Honorary Students” if they graduate within their regular period of study in their programs.</w:t>
      </w:r>
    </w:p>
    <w:sectPr w:rsidR="008E49B0" w:rsidRPr="00FB6CBA" w:rsidSect="00FB6CBA">
      <w:pgSz w:w="11910" w:h="16840"/>
      <w:pgMar w:top="1340" w:right="12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3509"/>
    <w:multiLevelType w:val="hybridMultilevel"/>
    <w:tmpl w:val="B5BA55D6"/>
    <w:lvl w:ilvl="0" w:tplc="4C3AB644">
      <w:start w:val="1"/>
      <w:numFmt w:val="lowerLetter"/>
      <w:lvlText w:val="%1)"/>
      <w:lvlJc w:val="left"/>
      <w:pPr>
        <w:ind w:left="476" w:hanging="250"/>
        <w:jc w:val="left"/>
      </w:pPr>
      <w:rPr>
        <w:rFonts w:ascii="Times New Roman" w:eastAsia="Times New Roman" w:hAnsi="Times New Roman" w:hint="default"/>
        <w:b/>
        <w:bCs/>
        <w:w w:val="100"/>
        <w:sz w:val="22"/>
        <w:szCs w:val="22"/>
      </w:rPr>
    </w:lvl>
    <w:lvl w:ilvl="1" w:tplc="F28CA1F4">
      <w:start w:val="1"/>
      <w:numFmt w:val="bullet"/>
      <w:lvlText w:val="•"/>
      <w:lvlJc w:val="left"/>
      <w:pPr>
        <w:ind w:left="1368" w:hanging="250"/>
      </w:pPr>
      <w:rPr>
        <w:rFonts w:hint="default"/>
      </w:rPr>
    </w:lvl>
    <w:lvl w:ilvl="2" w:tplc="A5288B26">
      <w:start w:val="1"/>
      <w:numFmt w:val="bullet"/>
      <w:lvlText w:val="•"/>
      <w:lvlJc w:val="left"/>
      <w:pPr>
        <w:ind w:left="2257" w:hanging="250"/>
      </w:pPr>
      <w:rPr>
        <w:rFonts w:hint="default"/>
      </w:rPr>
    </w:lvl>
    <w:lvl w:ilvl="3" w:tplc="D1CE882E">
      <w:start w:val="1"/>
      <w:numFmt w:val="bullet"/>
      <w:lvlText w:val="•"/>
      <w:lvlJc w:val="left"/>
      <w:pPr>
        <w:ind w:left="3145" w:hanging="250"/>
      </w:pPr>
      <w:rPr>
        <w:rFonts w:hint="default"/>
      </w:rPr>
    </w:lvl>
    <w:lvl w:ilvl="4" w:tplc="D34A3906">
      <w:start w:val="1"/>
      <w:numFmt w:val="bullet"/>
      <w:lvlText w:val="•"/>
      <w:lvlJc w:val="left"/>
      <w:pPr>
        <w:ind w:left="4034" w:hanging="250"/>
      </w:pPr>
      <w:rPr>
        <w:rFonts w:hint="default"/>
      </w:rPr>
    </w:lvl>
    <w:lvl w:ilvl="5" w:tplc="FDECF892">
      <w:start w:val="1"/>
      <w:numFmt w:val="bullet"/>
      <w:lvlText w:val="•"/>
      <w:lvlJc w:val="left"/>
      <w:pPr>
        <w:ind w:left="4923" w:hanging="250"/>
      </w:pPr>
      <w:rPr>
        <w:rFonts w:hint="default"/>
      </w:rPr>
    </w:lvl>
    <w:lvl w:ilvl="6" w:tplc="8E6C70C0">
      <w:start w:val="1"/>
      <w:numFmt w:val="bullet"/>
      <w:lvlText w:val="•"/>
      <w:lvlJc w:val="left"/>
      <w:pPr>
        <w:ind w:left="5811" w:hanging="250"/>
      </w:pPr>
      <w:rPr>
        <w:rFonts w:hint="default"/>
      </w:rPr>
    </w:lvl>
    <w:lvl w:ilvl="7" w:tplc="0A70C740">
      <w:start w:val="1"/>
      <w:numFmt w:val="bullet"/>
      <w:lvlText w:val="•"/>
      <w:lvlJc w:val="left"/>
      <w:pPr>
        <w:ind w:left="6700" w:hanging="250"/>
      </w:pPr>
      <w:rPr>
        <w:rFonts w:hint="default"/>
      </w:rPr>
    </w:lvl>
    <w:lvl w:ilvl="8" w:tplc="9E64FA0C">
      <w:start w:val="1"/>
      <w:numFmt w:val="bullet"/>
      <w:lvlText w:val="•"/>
      <w:lvlJc w:val="left"/>
      <w:pPr>
        <w:ind w:left="7589" w:hanging="250"/>
      </w:pPr>
      <w:rPr>
        <w:rFonts w:hint="default"/>
      </w:rPr>
    </w:lvl>
  </w:abstractNum>
  <w:abstractNum w:abstractNumId="1" w15:restartNumberingAfterBreak="0">
    <w:nsid w:val="32BC0609"/>
    <w:multiLevelType w:val="hybridMultilevel"/>
    <w:tmpl w:val="7354C8A6"/>
    <w:lvl w:ilvl="0" w:tplc="313C3866">
      <w:start w:val="1"/>
      <w:numFmt w:val="lowerLetter"/>
      <w:lvlText w:val="%1)"/>
      <w:lvlJc w:val="left"/>
      <w:pPr>
        <w:ind w:left="836" w:hanging="360"/>
        <w:jc w:val="left"/>
      </w:pPr>
      <w:rPr>
        <w:rFonts w:ascii="Times New Roman" w:eastAsia="Times New Roman" w:hAnsi="Times New Roman" w:hint="default"/>
        <w:b/>
        <w:bCs/>
        <w:w w:val="100"/>
        <w:sz w:val="22"/>
        <w:szCs w:val="22"/>
      </w:rPr>
    </w:lvl>
    <w:lvl w:ilvl="1" w:tplc="287C917C">
      <w:start w:val="1"/>
      <w:numFmt w:val="bullet"/>
      <w:lvlText w:val="•"/>
      <w:lvlJc w:val="left"/>
      <w:pPr>
        <w:ind w:left="1686" w:hanging="360"/>
      </w:pPr>
      <w:rPr>
        <w:rFonts w:hint="default"/>
      </w:rPr>
    </w:lvl>
    <w:lvl w:ilvl="2" w:tplc="AFB653FA">
      <w:start w:val="1"/>
      <w:numFmt w:val="bullet"/>
      <w:lvlText w:val="•"/>
      <w:lvlJc w:val="left"/>
      <w:pPr>
        <w:ind w:left="2533" w:hanging="360"/>
      </w:pPr>
      <w:rPr>
        <w:rFonts w:hint="default"/>
      </w:rPr>
    </w:lvl>
    <w:lvl w:ilvl="3" w:tplc="06BCDBF4">
      <w:start w:val="1"/>
      <w:numFmt w:val="bullet"/>
      <w:lvlText w:val="•"/>
      <w:lvlJc w:val="left"/>
      <w:pPr>
        <w:ind w:left="3379" w:hanging="360"/>
      </w:pPr>
      <w:rPr>
        <w:rFonts w:hint="default"/>
      </w:rPr>
    </w:lvl>
    <w:lvl w:ilvl="4" w:tplc="D570CA62">
      <w:start w:val="1"/>
      <w:numFmt w:val="bullet"/>
      <w:lvlText w:val="•"/>
      <w:lvlJc w:val="left"/>
      <w:pPr>
        <w:ind w:left="4226" w:hanging="360"/>
      </w:pPr>
      <w:rPr>
        <w:rFonts w:hint="default"/>
      </w:rPr>
    </w:lvl>
    <w:lvl w:ilvl="5" w:tplc="A37C7A70">
      <w:start w:val="1"/>
      <w:numFmt w:val="bullet"/>
      <w:lvlText w:val="•"/>
      <w:lvlJc w:val="left"/>
      <w:pPr>
        <w:ind w:left="5073" w:hanging="360"/>
      </w:pPr>
      <w:rPr>
        <w:rFonts w:hint="default"/>
      </w:rPr>
    </w:lvl>
    <w:lvl w:ilvl="6" w:tplc="A07C31BC">
      <w:start w:val="1"/>
      <w:numFmt w:val="bullet"/>
      <w:lvlText w:val="•"/>
      <w:lvlJc w:val="left"/>
      <w:pPr>
        <w:ind w:left="5919" w:hanging="360"/>
      </w:pPr>
      <w:rPr>
        <w:rFonts w:hint="default"/>
      </w:rPr>
    </w:lvl>
    <w:lvl w:ilvl="7" w:tplc="7DC6BCB8">
      <w:start w:val="1"/>
      <w:numFmt w:val="bullet"/>
      <w:lvlText w:val="•"/>
      <w:lvlJc w:val="left"/>
      <w:pPr>
        <w:ind w:left="6766" w:hanging="360"/>
      </w:pPr>
      <w:rPr>
        <w:rFonts w:hint="default"/>
      </w:rPr>
    </w:lvl>
    <w:lvl w:ilvl="8" w:tplc="87A8C266">
      <w:start w:val="1"/>
      <w:numFmt w:val="bullet"/>
      <w:lvlText w:val="•"/>
      <w:lvlJc w:val="left"/>
      <w:pPr>
        <w:ind w:left="7613"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8E49B0"/>
    <w:rsid w:val="008E49B0"/>
    <w:rsid w:val="00FB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BEAC"/>
  <w15:docId w15:val="{7F7E7E7B-0FC6-4E76-96F5-2D7DCE24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spacing w:before="49"/>
      <w:ind w:left="116"/>
      <w:outlineLvl w:val="0"/>
    </w:pPr>
    <w:rPr>
      <w:rFonts w:ascii="Times New Roman" w:eastAsia="Times New Roman" w:hAnsi="Times New Roman"/>
      <w:sz w:val="24"/>
      <w:szCs w:val="24"/>
    </w:rPr>
  </w:style>
  <w:style w:type="paragraph" w:styleId="Balk2">
    <w:name w:val="heading 2"/>
    <w:basedOn w:val="Normal"/>
    <w:uiPriority w:val="1"/>
    <w:qFormat/>
    <w:pPr>
      <w:ind w:left="824"/>
      <w:outlineLvl w:val="1"/>
    </w:pPr>
    <w:rPr>
      <w:rFonts w:ascii="Times New Roman" w:eastAsia="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firstLine="707"/>
    </w:pPr>
    <w:rPr>
      <w:rFonts w:ascii="Times New Roman" w:eastAsia="Times New Roman" w:hAnsi="Times New Roman"/>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c:creator>
  <cp:lastModifiedBy>Admin</cp:lastModifiedBy>
  <cp:revision>2</cp:revision>
  <dcterms:created xsi:type="dcterms:W3CDTF">2023-11-02T11:41:00Z</dcterms:created>
  <dcterms:modified xsi:type="dcterms:W3CDTF">2023-11-02T10:05:00Z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Microsoft® Word 2016</vt:lpwstr>
  </property>
  <property fmtid="{D5CDD505-2E9C-101B-9397-08002B2CF9AE}" pid="4" name="LastSaved">
    <vt:filetime>2023-11-02T00:00:00Z</vt:filetime>
  </property>
</Properties>
</file>