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26" w:rsidRPr="002E37B3" w:rsidRDefault="004432EC" w:rsidP="002E37B3">
      <w:pPr>
        <w:pStyle w:val="GvdeMetni"/>
        <w:spacing w:before="55"/>
        <w:ind w:left="0" w:right="-36"/>
        <w:jc w:val="both"/>
        <w:rPr>
          <w:rFonts w:cs="Times New Roman"/>
        </w:rPr>
      </w:pPr>
      <w:r w:rsidRPr="002E37B3">
        <w:rPr>
          <w:rFonts w:cs="Times New Roman"/>
        </w:rPr>
        <w:t>(Senate Resolution dated 22.08.2023 no. 10)</w:t>
      </w:r>
    </w:p>
    <w:p w:rsidR="009E4EB0" w:rsidRDefault="004432EC" w:rsidP="002E37B3">
      <w:pPr>
        <w:pStyle w:val="GvdeMetni"/>
        <w:spacing w:before="74"/>
        <w:ind w:left="0" w:right="-36"/>
        <w:jc w:val="both"/>
        <w:rPr>
          <w:rFonts w:cs="Times New Roman"/>
        </w:rPr>
      </w:pPr>
      <w:r w:rsidRPr="002E37B3">
        <w:rPr>
          <w:rFonts w:cs="Times New Roman"/>
        </w:rPr>
        <w:t xml:space="preserve">(Senate Resolution dated 09.10.2018 no. 11) </w:t>
      </w:r>
    </w:p>
    <w:p w:rsidR="00747D26" w:rsidRPr="002E37B3" w:rsidRDefault="004432EC" w:rsidP="002E37B3">
      <w:pPr>
        <w:pStyle w:val="GvdeMetni"/>
        <w:spacing w:before="74"/>
        <w:ind w:left="0" w:right="-36"/>
        <w:jc w:val="both"/>
        <w:rPr>
          <w:rFonts w:cs="Times New Roman"/>
        </w:rPr>
      </w:pPr>
      <w:r w:rsidRPr="002E37B3">
        <w:rPr>
          <w:rFonts w:cs="Times New Roman"/>
        </w:rPr>
        <w:t>(Senate Resolution dated 21.03.2017 no. 04)</w:t>
      </w:r>
    </w:p>
    <w:p w:rsidR="00747D26" w:rsidRPr="002E37B3" w:rsidRDefault="00747D26" w:rsidP="002E37B3">
      <w:pPr>
        <w:ind w:right="-36"/>
        <w:jc w:val="both"/>
        <w:rPr>
          <w:rFonts w:ascii="Times New Roman" w:eastAsia="Times New Roman" w:hAnsi="Times New Roman" w:cs="Times New Roman"/>
          <w:sz w:val="24"/>
          <w:szCs w:val="24"/>
        </w:rPr>
      </w:pPr>
    </w:p>
    <w:p w:rsidR="00747D26" w:rsidRPr="002E37B3" w:rsidRDefault="004432EC" w:rsidP="009E4EB0">
      <w:pPr>
        <w:pStyle w:val="Balk1"/>
        <w:ind w:left="0" w:right="-36"/>
        <w:jc w:val="center"/>
        <w:rPr>
          <w:rFonts w:cs="Times New Roman"/>
          <w:b w:val="0"/>
          <w:bCs w:val="0"/>
        </w:rPr>
      </w:pPr>
      <w:r w:rsidRPr="002E37B3">
        <w:rPr>
          <w:rFonts w:cs="Times New Roman"/>
        </w:rPr>
        <w:t>ATILIM UNIVERSITY</w:t>
      </w:r>
    </w:p>
    <w:p w:rsidR="00747D26" w:rsidRDefault="004432EC" w:rsidP="009E4EB0">
      <w:pPr>
        <w:ind w:right="-36"/>
        <w:jc w:val="center"/>
        <w:rPr>
          <w:rFonts w:ascii="Times New Roman" w:hAnsi="Times New Roman" w:cs="Times New Roman"/>
          <w:b/>
          <w:sz w:val="24"/>
          <w:szCs w:val="24"/>
        </w:rPr>
      </w:pPr>
      <w:r w:rsidRPr="002E37B3">
        <w:rPr>
          <w:rFonts w:ascii="Times New Roman" w:hAnsi="Times New Roman" w:cs="Times New Roman"/>
          <w:b/>
          <w:sz w:val="24"/>
          <w:szCs w:val="24"/>
        </w:rPr>
        <w:t>DIRECTIVE ON THE PRINCIPLES AND PROCEDURES OF INTERNATIONAL STUDENT ADMISSION</w:t>
      </w:r>
    </w:p>
    <w:p w:rsidR="004432EC" w:rsidRDefault="004432EC" w:rsidP="009E4EB0">
      <w:pPr>
        <w:ind w:right="-36"/>
        <w:jc w:val="center"/>
        <w:rPr>
          <w:rFonts w:ascii="Times New Roman" w:hAnsi="Times New Roman" w:cs="Times New Roman"/>
          <w:b/>
          <w:sz w:val="24"/>
          <w:szCs w:val="24"/>
        </w:rPr>
      </w:pPr>
    </w:p>
    <w:p w:rsidR="009E4EB0" w:rsidRPr="002E37B3" w:rsidRDefault="009E4EB0" w:rsidP="009E4EB0">
      <w:pPr>
        <w:spacing w:before="69"/>
        <w:ind w:right="-36"/>
        <w:jc w:val="center"/>
        <w:rPr>
          <w:rFonts w:ascii="Times New Roman" w:eastAsia="Times New Roman" w:hAnsi="Times New Roman" w:cs="Times New Roman"/>
          <w:sz w:val="24"/>
          <w:szCs w:val="24"/>
        </w:rPr>
      </w:pPr>
      <w:bookmarkStart w:id="0" w:name="_GoBack"/>
      <w:bookmarkEnd w:id="0"/>
      <w:r w:rsidRPr="002E37B3">
        <w:rPr>
          <w:rFonts w:ascii="Times New Roman" w:hAnsi="Times New Roman" w:cs="Times New Roman"/>
          <w:b/>
          <w:sz w:val="24"/>
          <w:szCs w:val="24"/>
        </w:rPr>
        <w:t>SECTION ONE</w:t>
      </w:r>
    </w:p>
    <w:p w:rsidR="009E4EB0" w:rsidRPr="002E37B3" w:rsidRDefault="009E4EB0" w:rsidP="009E4EB0">
      <w:pPr>
        <w:ind w:right="-36"/>
        <w:jc w:val="center"/>
        <w:rPr>
          <w:rFonts w:ascii="Times New Roman" w:eastAsia="Times New Roman" w:hAnsi="Times New Roman" w:cs="Times New Roman"/>
          <w:sz w:val="24"/>
          <w:szCs w:val="24"/>
        </w:rPr>
      </w:pPr>
      <w:r w:rsidRPr="002E37B3">
        <w:rPr>
          <w:rFonts w:ascii="Times New Roman" w:hAnsi="Times New Roman" w:cs="Times New Roman"/>
          <w:b/>
          <w:sz w:val="24"/>
          <w:szCs w:val="24"/>
        </w:rPr>
        <w:t>Purpose, Scope Basis and Definitions</w:t>
      </w:r>
    </w:p>
    <w:p w:rsidR="009E4EB0" w:rsidRDefault="009E4EB0" w:rsidP="009E4EB0">
      <w:pPr>
        <w:ind w:right="-36"/>
        <w:jc w:val="center"/>
        <w:rPr>
          <w:rFonts w:ascii="Times New Roman" w:hAnsi="Times New Roman" w:cs="Times New Roman"/>
          <w:b/>
          <w:sz w:val="24"/>
          <w:szCs w:val="24"/>
        </w:rPr>
      </w:pPr>
    </w:p>
    <w:p w:rsidR="009E4EB0" w:rsidRDefault="004432EC" w:rsidP="009E4EB0">
      <w:pPr>
        <w:ind w:right="-36"/>
        <w:jc w:val="both"/>
        <w:rPr>
          <w:rFonts w:ascii="Times New Roman" w:hAnsi="Times New Roman" w:cs="Times New Roman"/>
          <w:b/>
          <w:sz w:val="24"/>
          <w:szCs w:val="24"/>
        </w:rPr>
      </w:pPr>
      <w:r w:rsidRPr="002E37B3">
        <w:rPr>
          <w:rFonts w:ascii="Times New Roman" w:hAnsi="Times New Roman" w:cs="Times New Roman"/>
          <w:b/>
          <w:sz w:val="24"/>
          <w:szCs w:val="24"/>
        </w:rPr>
        <w:t>Purpose</w:t>
      </w:r>
    </w:p>
    <w:p w:rsidR="00747D26" w:rsidRPr="002E37B3" w:rsidRDefault="004432EC" w:rsidP="009E4EB0">
      <w:pPr>
        <w:ind w:right="-36"/>
        <w:jc w:val="both"/>
        <w:rPr>
          <w:rFonts w:ascii="Times New Roman" w:hAnsi="Times New Roman" w:cs="Times New Roman"/>
          <w:sz w:val="24"/>
          <w:szCs w:val="24"/>
        </w:rPr>
      </w:pPr>
      <w:r w:rsidRPr="002E37B3">
        <w:rPr>
          <w:rFonts w:ascii="Times New Roman" w:hAnsi="Times New Roman" w:cs="Times New Roman"/>
          <w:b/>
          <w:bCs/>
          <w:sz w:val="24"/>
          <w:szCs w:val="24"/>
        </w:rPr>
        <w:t>ARTICLE 1-(1)</w:t>
      </w:r>
      <w:r w:rsidRPr="002E37B3">
        <w:rPr>
          <w:rFonts w:ascii="Times New Roman" w:hAnsi="Times New Roman" w:cs="Times New Roman"/>
          <w:sz w:val="24"/>
          <w:szCs w:val="24"/>
        </w:rPr>
        <w:t xml:space="preserve"> The purpose of this Directive is to determine the principles and procedures for the admission of international students to undergraduate, master and doctorate</w:t>
      </w:r>
      <w:r w:rsidRPr="002E37B3">
        <w:rPr>
          <w:rFonts w:ascii="Times New Roman" w:hAnsi="Times New Roman" w:cs="Times New Roman"/>
          <w:sz w:val="24"/>
          <w:szCs w:val="24"/>
        </w:rPr>
        <w:t xml:space="preserve"> degree programs of Atılım University.</w:t>
      </w:r>
    </w:p>
    <w:p w:rsidR="00747D26" w:rsidRPr="002E37B3" w:rsidRDefault="00747D26" w:rsidP="002E37B3">
      <w:pPr>
        <w:spacing w:before="2"/>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Scope</w:t>
      </w:r>
    </w:p>
    <w:p w:rsidR="00747D26" w:rsidRPr="002E37B3" w:rsidRDefault="004432EC" w:rsidP="002E37B3">
      <w:pPr>
        <w:pStyle w:val="GvdeMetni"/>
        <w:ind w:left="0" w:right="-36"/>
        <w:jc w:val="both"/>
        <w:rPr>
          <w:rFonts w:cs="Times New Roman"/>
        </w:rPr>
      </w:pPr>
      <w:r w:rsidRPr="002E37B3">
        <w:rPr>
          <w:rFonts w:cs="Times New Roman"/>
          <w:b/>
        </w:rPr>
        <w:t>ARTICLE 2-(1)</w:t>
      </w:r>
      <w:r w:rsidRPr="002E37B3">
        <w:rPr>
          <w:rFonts w:cs="Times New Roman"/>
        </w:rPr>
        <w:t xml:space="preserve"> This Directive covers the principles and procedures for the admission of international students to the University.</w:t>
      </w:r>
    </w:p>
    <w:p w:rsidR="00747D26" w:rsidRPr="002E37B3" w:rsidRDefault="00747D26" w:rsidP="002E37B3">
      <w:pPr>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Basis</w:t>
      </w:r>
    </w:p>
    <w:p w:rsidR="00747D26" w:rsidRPr="002E37B3" w:rsidRDefault="004432EC" w:rsidP="002E37B3">
      <w:pPr>
        <w:pStyle w:val="GvdeMetni"/>
        <w:ind w:left="0" w:right="-36"/>
        <w:jc w:val="both"/>
        <w:rPr>
          <w:rFonts w:cs="Times New Roman"/>
        </w:rPr>
      </w:pPr>
      <w:r w:rsidRPr="002E37B3">
        <w:rPr>
          <w:rFonts w:cs="Times New Roman"/>
          <w:b/>
        </w:rPr>
        <w:t>ARTICLE 3-(1)</w:t>
      </w:r>
      <w:r w:rsidRPr="002E37B3">
        <w:rPr>
          <w:rFonts w:cs="Times New Roman"/>
        </w:rPr>
        <w:t xml:space="preserve"> Article 14 of Law on Higher Education no. 2547 constitutes the basis for this Directive.</w:t>
      </w:r>
      <w:r w:rsidRPr="002E37B3">
        <w:rPr>
          <w:rFonts w:cs="Times New Roman"/>
        </w:rPr>
        <w:t xml:space="preserve">  </w:t>
      </w:r>
    </w:p>
    <w:p w:rsidR="00747D26" w:rsidRPr="002E37B3" w:rsidRDefault="00747D26" w:rsidP="002E37B3">
      <w:pPr>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Definitions ARTICLE 4 - (1)</w:t>
      </w:r>
    </w:p>
    <w:p w:rsidR="00747D26" w:rsidRPr="002E37B3" w:rsidRDefault="004432EC" w:rsidP="002E37B3">
      <w:pPr>
        <w:pStyle w:val="GvdeMetni"/>
        <w:ind w:left="0" w:right="-36"/>
        <w:jc w:val="both"/>
        <w:rPr>
          <w:rFonts w:cs="Times New Roman"/>
        </w:rPr>
      </w:pPr>
      <w:r w:rsidRPr="002E37B3">
        <w:rPr>
          <w:rFonts w:cs="Times New Roman"/>
          <w:b/>
          <w:bCs/>
        </w:rPr>
        <w:t xml:space="preserve">TRNC: </w:t>
      </w:r>
      <w:r w:rsidRPr="002E37B3">
        <w:rPr>
          <w:rFonts w:cs="Times New Roman"/>
        </w:rPr>
        <w:t>The Turkish Republic of Northern Cyprus;</w:t>
      </w:r>
    </w:p>
    <w:p w:rsidR="00747D26" w:rsidRPr="002E37B3" w:rsidRDefault="004432EC" w:rsidP="002E37B3">
      <w:pPr>
        <w:pStyle w:val="GvdeMetni"/>
        <w:ind w:left="0" w:right="-36"/>
        <w:jc w:val="both"/>
        <w:rPr>
          <w:rFonts w:cs="Times New Roman"/>
        </w:rPr>
      </w:pPr>
      <w:r w:rsidRPr="002E37B3">
        <w:rPr>
          <w:rFonts w:cs="Times New Roman"/>
          <w:b/>
        </w:rPr>
        <w:t xml:space="preserve">ÖSYM: </w:t>
      </w:r>
      <w:r w:rsidRPr="002E37B3">
        <w:rPr>
          <w:rFonts w:cs="Times New Roman"/>
        </w:rPr>
        <w:t>Assessment, Selection and Placement Center;</w:t>
      </w:r>
    </w:p>
    <w:p w:rsidR="00747D26" w:rsidRPr="002E37B3" w:rsidRDefault="004432EC" w:rsidP="002E37B3">
      <w:pPr>
        <w:pStyle w:val="GvdeMetni"/>
        <w:ind w:left="0" w:right="-36"/>
        <w:jc w:val="both"/>
        <w:rPr>
          <w:rFonts w:cs="Times New Roman"/>
        </w:rPr>
      </w:pPr>
      <w:r w:rsidRPr="002E37B3">
        <w:rPr>
          <w:rFonts w:cs="Times New Roman"/>
          <w:b/>
        </w:rPr>
        <w:t xml:space="preserve">Program: </w:t>
      </w:r>
      <w:r w:rsidRPr="002E37B3">
        <w:rPr>
          <w:rFonts w:cs="Times New Roman"/>
        </w:rPr>
        <w:t>Associate, Undergraduate and Graduate Diploma Programs;</w:t>
      </w:r>
    </w:p>
    <w:p w:rsidR="009E4EB0" w:rsidRDefault="004432EC" w:rsidP="009E4EB0">
      <w:pPr>
        <w:ind w:right="-36"/>
        <w:jc w:val="both"/>
        <w:rPr>
          <w:rFonts w:ascii="Times New Roman" w:hAnsi="Times New Roman" w:cs="Times New Roman"/>
          <w:sz w:val="24"/>
          <w:szCs w:val="24"/>
        </w:rPr>
      </w:pPr>
      <w:r w:rsidRPr="002E37B3">
        <w:rPr>
          <w:rFonts w:ascii="Times New Roman" w:hAnsi="Times New Roman" w:cs="Times New Roman"/>
          <w:b/>
          <w:sz w:val="24"/>
          <w:szCs w:val="24"/>
        </w:rPr>
        <w:t xml:space="preserve">President: </w:t>
      </w:r>
      <w:r w:rsidRPr="002E37B3">
        <w:rPr>
          <w:rFonts w:ascii="Times New Roman" w:hAnsi="Times New Roman" w:cs="Times New Roman"/>
          <w:sz w:val="24"/>
          <w:szCs w:val="24"/>
        </w:rPr>
        <w:t xml:space="preserve">The President of Atılım University; </w:t>
      </w:r>
    </w:p>
    <w:p w:rsidR="009E4EB0" w:rsidRDefault="004432EC" w:rsidP="009E4EB0">
      <w:pPr>
        <w:ind w:right="-36"/>
        <w:jc w:val="both"/>
        <w:rPr>
          <w:rFonts w:ascii="Times New Roman" w:hAnsi="Times New Roman" w:cs="Times New Roman"/>
          <w:sz w:val="24"/>
          <w:szCs w:val="24"/>
        </w:rPr>
      </w:pPr>
      <w:r w:rsidRPr="002E37B3">
        <w:rPr>
          <w:rFonts w:ascii="Times New Roman" w:hAnsi="Times New Roman" w:cs="Times New Roman"/>
          <w:b/>
          <w:sz w:val="24"/>
          <w:szCs w:val="24"/>
        </w:rPr>
        <w:t xml:space="preserve">Senate: </w:t>
      </w:r>
      <w:r w:rsidRPr="002E37B3">
        <w:rPr>
          <w:rFonts w:ascii="Times New Roman" w:hAnsi="Times New Roman" w:cs="Times New Roman"/>
          <w:sz w:val="24"/>
          <w:szCs w:val="24"/>
        </w:rPr>
        <w:t xml:space="preserve">The Atılım University Senate; </w:t>
      </w:r>
    </w:p>
    <w:p w:rsidR="00EB4B3B" w:rsidRDefault="004432EC" w:rsidP="009E4EB0">
      <w:pPr>
        <w:ind w:right="-36"/>
        <w:jc w:val="both"/>
        <w:rPr>
          <w:rFonts w:ascii="Times New Roman" w:hAnsi="Times New Roman" w:cs="Times New Roman"/>
          <w:sz w:val="24"/>
          <w:szCs w:val="24"/>
        </w:rPr>
      </w:pPr>
      <w:r w:rsidRPr="002E37B3">
        <w:rPr>
          <w:rFonts w:ascii="Times New Roman" w:hAnsi="Times New Roman" w:cs="Times New Roman"/>
          <w:b/>
          <w:sz w:val="24"/>
          <w:szCs w:val="24"/>
        </w:rPr>
        <w:t xml:space="preserve">R.T.: </w:t>
      </w:r>
      <w:r w:rsidRPr="002E37B3">
        <w:rPr>
          <w:rFonts w:ascii="Times New Roman" w:hAnsi="Times New Roman" w:cs="Times New Roman"/>
          <w:sz w:val="24"/>
          <w:szCs w:val="24"/>
        </w:rPr>
        <w:t xml:space="preserve">The Republic of Türkiye, </w:t>
      </w:r>
    </w:p>
    <w:p w:rsidR="00747D26" w:rsidRPr="009E4EB0" w:rsidRDefault="004432EC" w:rsidP="009E4EB0">
      <w:pPr>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 xml:space="preserve">University: </w:t>
      </w:r>
      <w:r w:rsidR="009E4EB0">
        <w:rPr>
          <w:rFonts w:ascii="Times New Roman" w:hAnsi="Times New Roman" w:cs="Times New Roman"/>
          <w:sz w:val="24"/>
          <w:szCs w:val="24"/>
        </w:rPr>
        <w:t>Atılım University.</w:t>
      </w:r>
    </w:p>
    <w:p w:rsidR="00747D26" w:rsidRDefault="00747D26" w:rsidP="002E37B3">
      <w:pPr>
        <w:spacing w:before="3"/>
        <w:ind w:right="-36"/>
        <w:jc w:val="both"/>
        <w:rPr>
          <w:rFonts w:ascii="Times New Roman" w:eastAsia="Times New Roman" w:hAnsi="Times New Roman" w:cs="Times New Roman"/>
          <w:sz w:val="24"/>
          <w:szCs w:val="24"/>
        </w:rPr>
      </w:pPr>
    </w:p>
    <w:p w:rsidR="00EB4B3B" w:rsidRPr="002E37B3" w:rsidRDefault="00EB4B3B" w:rsidP="002E37B3">
      <w:pPr>
        <w:spacing w:before="3"/>
        <w:ind w:right="-36"/>
        <w:jc w:val="both"/>
        <w:rPr>
          <w:rFonts w:ascii="Times New Roman" w:eastAsia="Times New Roman" w:hAnsi="Times New Roman" w:cs="Times New Roman"/>
          <w:sz w:val="24"/>
          <w:szCs w:val="24"/>
        </w:rPr>
      </w:pPr>
    </w:p>
    <w:p w:rsidR="00747D26" w:rsidRPr="002E37B3" w:rsidRDefault="004432EC" w:rsidP="009E4EB0">
      <w:pPr>
        <w:pStyle w:val="Balk1"/>
        <w:ind w:left="0" w:right="-36"/>
        <w:jc w:val="center"/>
        <w:rPr>
          <w:rFonts w:cs="Times New Roman"/>
          <w:b w:val="0"/>
          <w:bCs w:val="0"/>
        </w:rPr>
      </w:pPr>
      <w:r w:rsidRPr="002E37B3">
        <w:rPr>
          <w:rFonts w:cs="Times New Roman"/>
        </w:rPr>
        <w:t>SECTION TWO</w:t>
      </w:r>
    </w:p>
    <w:p w:rsidR="009E4EB0" w:rsidRDefault="004432EC" w:rsidP="009E4EB0">
      <w:pPr>
        <w:spacing w:before="41" w:line="276" w:lineRule="auto"/>
        <w:ind w:right="-36"/>
        <w:jc w:val="center"/>
        <w:rPr>
          <w:rFonts w:ascii="Times New Roman" w:hAnsi="Times New Roman" w:cs="Times New Roman"/>
          <w:b/>
          <w:sz w:val="24"/>
          <w:szCs w:val="24"/>
        </w:rPr>
      </w:pPr>
      <w:r w:rsidRPr="002E37B3">
        <w:rPr>
          <w:rFonts w:ascii="Times New Roman" w:hAnsi="Times New Roman" w:cs="Times New Roman"/>
          <w:b/>
          <w:sz w:val="24"/>
          <w:szCs w:val="24"/>
        </w:rPr>
        <w:t>Application Requirements - Exams - Quo</w:t>
      </w:r>
      <w:r w:rsidRPr="002E37B3">
        <w:rPr>
          <w:rFonts w:ascii="Times New Roman" w:hAnsi="Times New Roman" w:cs="Times New Roman"/>
          <w:b/>
          <w:sz w:val="24"/>
          <w:szCs w:val="24"/>
        </w:rPr>
        <w:t>tas</w:t>
      </w:r>
    </w:p>
    <w:p w:rsidR="00747D26" w:rsidRPr="002E37B3" w:rsidRDefault="004432EC" w:rsidP="002E37B3">
      <w:pPr>
        <w:spacing w:before="41" w:line="276" w:lineRule="auto"/>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Application conditions</w:t>
      </w:r>
    </w:p>
    <w:p w:rsidR="00747D26" w:rsidRPr="002E37B3" w:rsidRDefault="004432EC" w:rsidP="002E37B3">
      <w:pPr>
        <w:pStyle w:val="GvdeMetni"/>
        <w:spacing w:before="1" w:line="276" w:lineRule="auto"/>
        <w:ind w:left="0" w:right="-36"/>
        <w:jc w:val="both"/>
        <w:rPr>
          <w:rFonts w:cs="Times New Roman"/>
        </w:rPr>
      </w:pPr>
      <w:r w:rsidRPr="002E37B3">
        <w:rPr>
          <w:rFonts w:cs="Times New Roman"/>
          <w:b/>
          <w:bCs/>
        </w:rPr>
        <w:t>ARTICLE 5 - (1</w:t>
      </w:r>
      <w:r w:rsidR="009E4EB0" w:rsidRPr="002E37B3">
        <w:rPr>
          <w:rFonts w:cs="Times New Roman"/>
          <w:b/>
          <w:bCs/>
        </w:rPr>
        <w:t>)</w:t>
      </w:r>
      <w:r w:rsidR="009E4EB0" w:rsidRPr="002E37B3">
        <w:rPr>
          <w:rFonts w:cs="Times New Roman"/>
        </w:rPr>
        <w:t xml:space="preserve"> Students</w:t>
      </w:r>
      <w:r w:rsidRPr="002E37B3">
        <w:rPr>
          <w:rFonts w:cs="Times New Roman"/>
        </w:rPr>
        <w:t xml:space="preserve"> who are graduates of high schools equivalent to the Turkish high schools and comply with the conditions below may apply to the Directorate of International Relations within the relevant application dates.</w:t>
      </w:r>
    </w:p>
    <w:p w:rsidR="00747D26" w:rsidRPr="002E37B3" w:rsidRDefault="009E4EB0" w:rsidP="002E37B3">
      <w:pPr>
        <w:pStyle w:val="ListeParagraf"/>
        <w:numPr>
          <w:ilvl w:val="0"/>
          <w:numId w:val="6"/>
        </w:numPr>
        <w:tabs>
          <w:tab w:val="left" w:pos="496"/>
        </w:tabs>
        <w:spacing w:before="3"/>
        <w:ind w:left="0" w:right="-36" w:firstLine="0"/>
        <w:jc w:val="both"/>
        <w:rPr>
          <w:rFonts w:ascii="Times New Roman" w:eastAsia="Times New Roman" w:hAnsi="Times New Roman" w:cs="Times New Roman"/>
          <w:sz w:val="24"/>
          <w:szCs w:val="24"/>
        </w:rPr>
      </w:pPr>
      <w:r>
        <w:rPr>
          <w:rFonts w:ascii="Times New Roman" w:hAnsi="Times New Roman" w:cs="Times New Roman"/>
          <w:sz w:val="24"/>
          <w:szCs w:val="24"/>
        </w:rPr>
        <w:t>F</w:t>
      </w:r>
      <w:r w:rsidR="004432EC" w:rsidRPr="002E37B3">
        <w:rPr>
          <w:rFonts w:ascii="Times New Roman" w:hAnsi="Times New Roman" w:cs="Times New Roman"/>
          <w:sz w:val="24"/>
          <w:szCs w:val="24"/>
        </w:rPr>
        <w:t>oreign nationals,</w:t>
      </w:r>
    </w:p>
    <w:p w:rsidR="00747D26" w:rsidRPr="002E37B3" w:rsidRDefault="004432EC" w:rsidP="002E37B3">
      <w:pPr>
        <w:pStyle w:val="ListeParagraf"/>
        <w:numPr>
          <w:ilvl w:val="0"/>
          <w:numId w:val="6"/>
        </w:numPr>
        <w:tabs>
          <w:tab w:val="left" w:pos="496"/>
        </w:tabs>
        <w:spacing w:before="41" w:line="276"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Turkish citizens by b</w:t>
      </w:r>
      <w:r w:rsidRPr="002E37B3">
        <w:rPr>
          <w:rFonts w:ascii="Times New Roman" w:hAnsi="Times New Roman" w:cs="Times New Roman"/>
          <w:sz w:val="24"/>
          <w:szCs w:val="24"/>
        </w:rPr>
        <w:t>irth who have later received permission to declare alienage from the Ministry of Internal Affairs, and those having provided evidence of ownership of a document on the Usage of the Rights under the Turkish Nationality Law for their underage children regist</w:t>
      </w:r>
      <w:r w:rsidRPr="002E37B3">
        <w:rPr>
          <w:rFonts w:ascii="Times New Roman" w:hAnsi="Times New Roman" w:cs="Times New Roman"/>
          <w:sz w:val="24"/>
          <w:szCs w:val="24"/>
        </w:rPr>
        <w:t>ered on their declaration of alienage documents;</w:t>
      </w:r>
    </w:p>
    <w:p w:rsidR="00747D26" w:rsidRPr="009E4EB0" w:rsidRDefault="004432EC" w:rsidP="00107EBE">
      <w:pPr>
        <w:pStyle w:val="ListeParagraf"/>
        <w:numPr>
          <w:ilvl w:val="0"/>
          <w:numId w:val="6"/>
        </w:numPr>
        <w:tabs>
          <w:tab w:val="left" w:pos="496"/>
        </w:tabs>
        <w:spacing w:before="1" w:line="278" w:lineRule="auto"/>
        <w:ind w:left="0" w:right="-36" w:firstLine="0"/>
        <w:jc w:val="both"/>
        <w:rPr>
          <w:rFonts w:ascii="Times New Roman" w:eastAsia="Times New Roman" w:hAnsi="Times New Roman" w:cs="Times New Roman"/>
          <w:sz w:val="24"/>
          <w:szCs w:val="24"/>
        </w:rPr>
      </w:pPr>
      <w:r w:rsidRPr="009E4EB0">
        <w:rPr>
          <w:rFonts w:ascii="Times New Roman" w:hAnsi="Times New Roman" w:cs="Times New Roman"/>
          <w:sz w:val="24"/>
          <w:szCs w:val="24"/>
        </w:rPr>
        <w:t>Individuals who were foreign nationals and became Turkish citizens through a citizenship acquired later / dual nationals in this situation,</w:t>
      </w:r>
    </w:p>
    <w:p w:rsidR="009E4EB0" w:rsidRDefault="004432EC" w:rsidP="002E37B3">
      <w:pPr>
        <w:spacing w:before="57" w:line="280" w:lineRule="auto"/>
        <w:ind w:right="-36"/>
        <w:jc w:val="both"/>
        <w:rPr>
          <w:rFonts w:ascii="Times New Roman" w:hAnsi="Times New Roman" w:cs="Times New Roman"/>
          <w:sz w:val="24"/>
          <w:szCs w:val="24"/>
        </w:rPr>
      </w:pPr>
      <w:r w:rsidRPr="002E37B3">
        <w:rPr>
          <w:rFonts w:ascii="Times New Roman" w:hAnsi="Times New Roman" w:cs="Times New Roman"/>
          <w:b/>
          <w:sz w:val="24"/>
          <w:szCs w:val="24"/>
        </w:rPr>
        <w:lastRenderedPageBreak/>
        <w:t>ç)</w:t>
      </w:r>
      <w:r w:rsidRPr="002E37B3">
        <w:rPr>
          <w:rFonts w:ascii="Times New Roman" w:hAnsi="Times New Roman" w:cs="Times New Roman"/>
          <w:sz w:val="24"/>
          <w:szCs w:val="24"/>
        </w:rPr>
        <w:t xml:space="preserve"> </w:t>
      </w:r>
      <w:r w:rsidR="009E4EB0">
        <w:rPr>
          <w:rFonts w:ascii="Times New Roman" w:hAnsi="Times New Roman" w:cs="Times New Roman"/>
          <w:sz w:val="24"/>
          <w:szCs w:val="24"/>
        </w:rPr>
        <w:t xml:space="preserve">Among </w:t>
      </w:r>
      <w:r w:rsidRPr="002E37B3">
        <w:rPr>
          <w:rFonts w:ascii="Times New Roman" w:hAnsi="Times New Roman" w:cs="Times New Roman"/>
          <w:sz w:val="24"/>
          <w:szCs w:val="24"/>
        </w:rPr>
        <w:t>Turkish nationals having attended secondar</w:t>
      </w:r>
      <w:r w:rsidRPr="002E37B3">
        <w:rPr>
          <w:rFonts w:ascii="Times New Roman" w:hAnsi="Times New Roman" w:cs="Times New Roman"/>
          <w:sz w:val="24"/>
          <w:szCs w:val="24"/>
        </w:rPr>
        <w:t xml:space="preserve">y education abroad before 01/02/2013, </w:t>
      </w:r>
      <w:r w:rsidRPr="002E37B3">
        <w:rPr>
          <w:rFonts w:ascii="Times New Roman" w:hAnsi="Times New Roman" w:cs="Times New Roman"/>
          <w:sz w:val="24"/>
          <w:szCs w:val="24"/>
        </w:rPr>
        <w:t>those who completed the last three years of their sec</w:t>
      </w:r>
      <w:r w:rsidR="009E4EB0">
        <w:rPr>
          <w:rFonts w:ascii="Times New Roman" w:hAnsi="Times New Roman" w:cs="Times New Roman"/>
          <w:sz w:val="24"/>
          <w:szCs w:val="24"/>
        </w:rPr>
        <w:t>ondary education (high school): in a foreign country other than the TRNC,</w:t>
      </w:r>
    </w:p>
    <w:p w:rsidR="00747D26" w:rsidRDefault="004432EC" w:rsidP="002E37B3">
      <w:pPr>
        <w:spacing w:line="276" w:lineRule="auto"/>
        <w:ind w:right="-36"/>
        <w:jc w:val="both"/>
        <w:rPr>
          <w:rFonts w:ascii="Times New Roman" w:hAnsi="Times New Roman" w:cs="Times New Roman"/>
          <w:sz w:val="24"/>
          <w:szCs w:val="24"/>
        </w:rPr>
      </w:pPr>
      <w:r w:rsidRPr="002E37B3">
        <w:rPr>
          <w:rFonts w:ascii="Times New Roman" w:hAnsi="Times New Roman" w:cs="Times New Roman"/>
          <w:sz w:val="24"/>
          <w:szCs w:val="24"/>
        </w:rPr>
        <w:t>(including those having completed their entire secondary edu</w:t>
      </w:r>
      <w:r w:rsidRPr="002E37B3">
        <w:rPr>
          <w:rFonts w:ascii="Times New Roman" w:hAnsi="Times New Roman" w:cs="Times New Roman"/>
          <w:sz w:val="24"/>
          <w:szCs w:val="24"/>
        </w:rPr>
        <w:t xml:space="preserve">cation (high school) at Turkish schools opened by the Ministry of Education in foreign countries other than </w:t>
      </w:r>
      <w:r w:rsidR="00AE67EB">
        <w:rPr>
          <w:rFonts w:ascii="Times New Roman" w:hAnsi="Times New Roman" w:cs="Times New Roman"/>
          <w:sz w:val="24"/>
          <w:szCs w:val="24"/>
        </w:rPr>
        <w:t xml:space="preserve">the </w:t>
      </w:r>
      <w:r w:rsidRPr="002E37B3">
        <w:rPr>
          <w:rFonts w:ascii="Times New Roman" w:hAnsi="Times New Roman" w:cs="Times New Roman"/>
          <w:sz w:val="24"/>
          <w:szCs w:val="24"/>
        </w:rPr>
        <w:t>TRNC);</w:t>
      </w:r>
    </w:p>
    <w:p w:rsidR="00563F3E" w:rsidRDefault="00563F3E" w:rsidP="002E37B3">
      <w:pPr>
        <w:pStyle w:val="ListeParagraf"/>
        <w:numPr>
          <w:ilvl w:val="0"/>
          <w:numId w:val="6"/>
        </w:numPr>
        <w:tabs>
          <w:tab w:val="left" w:pos="496"/>
        </w:tabs>
        <w:spacing w:before="1" w:line="276" w:lineRule="auto"/>
        <w:ind w:left="0" w:right="-3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Those applying to international student quotas for candidates having started their secondary education after 01/02/2013 if they have completed their secondary education (high school) in countries other than the TRNC (including</w:t>
      </w:r>
      <w:r>
        <w:rPr>
          <w:rFonts w:ascii="Times New Roman" w:eastAsia="Times New Roman" w:hAnsi="Times New Roman" w:cs="Times New Roman"/>
          <w:sz w:val="24"/>
          <w:szCs w:val="24"/>
        </w:rPr>
        <w:t xml:space="preserve"> Turkish schools under the Ministry of Education;</w:t>
      </w:r>
      <w:r>
        <w:rPr>
          <w:rFonts w:ascii="Times New Roman" w:eastAsia="Times New Roman" w:hAnsi="Times New Roman" w:cs="Times New Roman"/>
          <w:sz w:val="24"/>
          <w:szCs w:val="24"/>
        </w:rPr>
        <w:t xml:space="preserve"> not in the TRNC), and</w:t>
      </w:r>
    </w:p>
    <w:p w:rsidR="00747D26" w:rsidRPr="002E37B3" w:rsidRDefault="004432EC" w:rsidP="002E37B3">
      <w:pPr>
        <w:pStyle w:val="ListeParagraf"/>
        <w:numPr>
          <w:ilvl w:val="0"/>
          <w:numId w:val="6"/>
        </w:numPr>
        <w:tabs>
          <w:tab w:val="left" w:pos="496"/>
        </w:tabs>
        <w:spacing w:before="1" w:line="276"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 xml:space="preserve">TRNC citizens residing and having completed their secondary education in </w:t>
      </w:r>
      <w:r w:rsidR="00AE67EB">
        <w:rPr>
          <w:rFonts w:ascii="Times New Roman" w:hAnsi="Times New Roman" w:cs="Times New Roman"/>
          <w:sz w:val="24"/>
          <w:szCs w:val="24"/>
        </w:rPr>
        <w:t xml:space="preserve">the </w:t>
      </w:r>
      <w:r w:rsidRPr="002E37B3">
        <w:rPr>
          <w:rFonts w:ascii="Times New Roman" w:hAnsi="Times New Roman" w:cs="Times New Roman"/>
          <w:sz w:val="24"/>
          <w:szCs w:val="24"/>
        </w:rPr>
        <w:t>TRNC, holdin</w:t>
      </w:r>
      <w:r w:rsidRPr="002E37B3">
        <w:rPr>
          <w:rFonts w:ascii="Times New Roman" w:hAnsi="Times New Roman" w:cs="Times New Roman"/>
          <w:sz w:val="24"/>
          <w:szCs w:val="24"/>
        </w:rPr>
        <w:t>g GCEAL examination results, or having or intending to have GCEAL examination results following their registration and education at public and private high schools in different countries between 2005-</w:t>
      </w:r>
      <w:r w:rsidR="00563F3E">
        <w:rPr>
          <w:rFonts w:ascii="Times New Roman" w:hAnsi="Times New Roman" w:cs="Times New Roman"/>
          <w:sz w:val="24"/>
          <w:szCs w:val="24"/>
        </w:rPr>
        <w:t>2010.</w:t>
      </w:r>
    </w:p>
    <w:p w:rsidR="00747D26" w:rsidRPr="002E37B3" w:rsidRDefault="00747D26" w:rsidP="002E37B3">
      <w:pPr>
        <w:spacing w:before="11"/>
        <w:ind w:right="-36"/>
        <w:jc w:val="both"/>
        <w:rPr>
          <w:rFonts w:ascii="Times New Roman" w:eastAsia="Times New Roman" w:hAnsi="Times New Roman" w:cs="Times New Roman"/>
          <w:sz w:val="24"/>
          <w:szCs w:val="24"/>
        </w:rPr>
      </w:pPr>
    </w:p>
    <w:p w:rsidR="00747D26" w:rsidRPr="002E37B3" w:rsidRDefault="004432EC" w:rsidP="002E37B3">
      <w:pPr>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Invalid applications</w:t>
      </w:r>
    </w:p>
    <w:p w:rsidR="00747D26" w:rsidRPr="002E37B3" w:rsidRDefault="004432EC" w:rsidP="002E37B3">
      <w:pPr>
        <w:tabs>
          <w:tab w:val="left" w:pos="1829"/>
        </w:tabs>
        <w:spacing w:before="37" w:line="280" w:lineRule="auto"/>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ARTICLE 6-(1</w:t>
      </w:r>
      <w:r w:rsidR="00563F3E" w:rsidRPr="002E37B3">
        <w:rPr>
          <w:rFonts w:ascii="Times New Roman" w:hAnsi="Times New Roman" w:cs="Times New Roman"/>
          <w:b/>
          <w:sz w:val="24"/>
          <w:szCs w:val="24"/>
        </w:rPr>
        <w:t>)</w:t>
      </w:r>
      <w:r w:rsidR="00563F3E" w:rsidRPr="002E37B3">
        <w:rPr>
          <w:rFonts w:ascii="Times New Roman" w:hAnsi="Times New Roman" w:cs="Times New Roman"/>
          <w:sz w:val="24"/>
          <w:szCs w:val="24"/>
        </w:rPr>
        <w:t xml:space="preserve"> Applications</w:t>
      </w:r>
      <w:r w:rsidRPr="002E37B3">
        <w:rPr>
          <w:rFonts w:ascii="Times New Roman" w:hAnsi="Times New Roman" w:cs="Times New Roman"/>
          <w:sz w:val="24"/>
          <w:szCs w:val="24"/>
        </w:rPr>
        <w:t xml:space="preserve"> by students falling under the conditions below are not to be accepted.</w:t>
      </w:r>
    </w:p>
    <w:p w:rsidR="00747D26" w:rsidRPr="002E37B3" w:rsidRDefault="004432EC" w:rsidP="002E37B3">
      <w:pPr>
        <w:pStyle w:val="ListeParagraf"/>
        <w:numPr>
          <w:ilvl w:val="0"/>
          <w:numId w:val="5"/>
        </w:numPr>
        <w:tabs>
          <w:tab w:val="left" w:pos="477"/>
        </w:tabs>
        <w:spacing w:line="264"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 xml:space="preserve"> </w:t>
      </w:r>
      <w:r w:rsidRPr="002E37B3">
        <w:rPr>
          <w:rFonts w:ascii="Times New Roman" w:hAnsi="Times New Roman" w:cs="Times New Roman"/>
          <w:sz w:val="24"/>
          <w:szCs w:val="24"/>
        </w:rPr>
        <w:t xml:space="preserve">Among citizens of the Republic of </w:t>
      </w:r>
      <w:r w:rsidR="00AE67EB">
        <w:rPr>
          <w:rFonts w:ascii="Times New Roman" w:hAnsi="Times New Roman" w:cs="Times New Roman"/>
          <w:sz w:val="24"/>
          <w:szCs w:val="24"/>
        </w:rPr>
        <w:t>Türkiye</w:t>
      </w:r>
      <w:r w:rsidRPr="002E37B3">
        <w:rPr>
          <w:rFonts w:ascii="Times New Roman" w:hAnsi="Times New Roman" w:cs="Times New Roman"/>
          <w:sz w:val="24"/>
          <w:szCs w:val="24"/>
        </w:rPr>
        <w:t xml:space="preserve"> or the TRNC; those with dual citizenships one of which is their Turkish or TRNC citizenship (excluding those having completed their secondary education in foreign countries other than the TRNC)  </w:t>
      </w:r>
    </w:p>
    <w:p w:rsidR="00747D26" w:rsidRPr="002E37B3" w:rsidRDefault="004432EC" w:rsidP="002E37B3">
      <w:pPr>
        <w:pStyle w:val="ListeParagraf"/>
        <w:numPr>
          <w:ilvl w:val="0"/>
          <w:numId w:val="5"/>
        </w:numPr>
        <w:tabs>
          <w:tab w:val="left" w:pos="477"/>
        </w:tabs>
        <w:spacing w:before="8" w:line="264"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Among those who ren</w:t>
      </w:r>
      <w:r w:rsidRPr="002E37B3">
        <w:rPr>
          <w:rFonts w:ascii="Times New Roman" w:hAnsi="Times New Roman" w:cs="Times New Roman"/>
          <w:sz w:val="24"/>
          <w:szCs w:val="24"/>
        </w:rPr>
        <w:t xml:space="preserve">ounced their </w:t>
      </w:r>
      <w:r w:rsidR="00563F3E" w:rsidRPr="002E37B3">
        <w:rPr>
          <w:rFonts w:ascii="Times New Roman" w:hAnsi="Times New Roman" w:cs="Times New Roman"/>
          <w:sz w:val="24"/>
          <w:szCs w:val="24"/>
        </w:rPr>
        <w:t>Turkish or</w:t>
      </w:r>
      <w:r w:rsidRPr="002E37B3">
        <w:rPr>
          <w:rFonts w:ascii="Times New Roman" w:hAnsi="Times New Roman" w:cs="Times New Roman"/>
          <w:sz w:val="24"/>
          <w:szCs w:val="24"/>
        </w:rPr>
        <w:t xml:space="preserve"> TRNC citizenship while holding dual citizenships, those who completed their entire high school education in Türkiye or </w:t>
      </w:r>
      <w:r w:rsidR="00AE67EB">
        <w:rPr>
          <w:rFonts w:ascii="Times New Roman" w:hAnsi="Times New Roman" w:cs="Times New Roman"/>
          <w:sz w:val="24"/>
          <w:szCs w:val="24"/>
        </w:rPr>
        <w:t xml:space="preserve">the </w:t>
      </w:r>
      <w:r w:rsidRPr="002E37B3">
        <w:rPr>
          <w:rFonts w:ascii="Times New Roman" w:hAnsi="Times New Roman" w:cs="Times New Roman"/>
          <w:sz w:val="24"/>
          <w:szCs w:val="24"/>
        </w:rPr>
        <w:t>TRNC,</w:t>
      </w:r>
    </w:p>
    <w:p w:rsidR="00747D26" w:rsidRPr="002E37B3" w:rsidRDefault="004432EC" w:rsidP="002E37B3">
      <w:pPr>
        <w:pStyle w:val="ListeParagraf"/>
        <w:numPr>
          <w:ilvl w:val="0"/>
          <w:numId w:val="5"/>
        </w:numPr>
        <w:tabs>
          <w:tab w:val="left" w:pos="477"/>
        </w:tabs>
        <w:spacing w:before="6"/>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 xml:space="preserve">Turkish citizens having completed their high school education in </w:t>
      </w:r>
      <w:r w:rsidR="00AE67EB">
        <w:rPr>
          <w:rFonts w:ascii="Times New Roman" w:hAnsi="Times New Roman" w:cs="Times New Roman"/>
          <w:sz w:val="24"/>
          <w:szCs w:val="24"/>
        </w:rPr>
        <w:t xml:space="preserve">the </w:t>
      </w:r>
      <w:r w:rsidRPr="002E37B3">
        <w:rPr>
          <w:rFonts w:ascii="Times New Roman" w:hAnsi="Times New Roman" w:cs="Times New Roman"/>
          <w:sz w:val="24"/>
          <w:szCs w:val="24"/>
        </w:rPr>
        <w:t>TRNC;</w:t>
      </w:r>
    </w:p>
    <w:p w:rsidR="00747D26" w:rsidRPr="002E37B3" w:rsidRDefault="004432EC" w:rsidP="002E37B3">
      <w:pPr>
        <w:spacing w:before="33"/>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ç)</w:t>
      </w:r>
      <w:r w:rsidRPr="002E37B3">
        <w:rPr>
          <w:rFonts w:ascii="Times New Roman" w:hAnsi="Times New Roman" w:cs="Times New Roman"/>
          <w:sz w:val="24"/>
          <w:szCs w:val="24"/>
        </w:rPr>
        <w:t xml:space="preserve"> Those having been expelled from </w:t>
      </w:r>
      <w:r w:rsidRPr="002E37B3">
        <w:rPr>
          <w:rFonts w:ascii="Times New Roman" w:hAnsi="Times New Roman" w:cs="Times New Roman"/>
          <w:sz w:val="24"/>
          <w:szCs w:val="24"/>
        </w:rPr>
        <w:t>a higher education institution in Türkiye due to disciplinary offenses,</w:t>
      </w:r>
    </w:p>
    <w:p w:rsidR="00747D26" w:rsidRPr="002E37B3" w:rsidRDefault="004432EC" w:rsidP="002E37B3">
      <w:pPr>
        <w:pStyle w:val="ListeParagraf"/>
        <w:numPr>
          <w:ilvl w:val="0"/>
          <w:numId w:val="5"/>
        </w:numPr>
        <w:tabs>
          <w:tab w:val="left" w:pos="477"/>
        </w:tabs>
        <w:spacing w:before="38" w:line="264"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 xml:space="preserve">Citizens of </w:t>
      </w:r>
      <w:r w:rsidR="00563F3E">
        <w:rPr>
          <w:rFonts w:ascii="Times New Roman" w:hAnsi="Times New Roman" w:cs="Times New Roman"/>
          <w:sz w:val="24"/>
          <w:szCs w:val="24"/>
        </w:rPr>
        <w:t>Türkiye</w:t>
      </w:r>
      <w:r w:rsidRPr="002E37B3">
        <w:rPr>
          <w:rFonts w:ascii="Times New Roman" w:hAnsi="Times New Roman" w:cs="Times New Roman"/>
          <w:sz w:val="24"/>
          <w:szCs w:val="24"/>
        </w:rPr>
        <w:t xml:space="preserve"> or</w:t>
      </w:r>
      <w:r w:rsidR="00AE67EB">
        <w:rPr>
          <w:rFonts w:ascii="Times New Roman" w:hAnsi="Times New Roman" w:cs="Times New Roman"/>
          <w:sz w:val="24"/>
          <w:szCs w:val="24"/>
        </w:rPr>
        <w:t xml:space="preserve"> the</w:t>
      </w:r>
      <w:r w:rsidRPr="002E37B3">
        <w:rPr>
          <w:rFonts w:ascii="Times New Roman" w:hAnsi="Times New Roman" w:cs="Times New Roman"/>
          <w:sz w:val="24"/>
          <w:szCs w:val="24"/>
        </w:rPr>
        <w:t xml:space="preserve"> TRNC, or Turkish-born dual citizens, having completed high school education in Embassy schools, or foreign schools in Türkiye.</w:t>
      </w:r>
    </w:p>
    <w:p w:rsidR="00747D26" w:rsidRPr="002E37B3" w:rsidRDefault="00747D26" w:rsidP="002E37B3">
      <w:pPr>
        <w:spacing w:before="2"/>
        <w:ind w:right="-36"/>
        <w:jc w:val="both"/>
        <w:rPr>
          <w:rFonts w:ascii="Times New Roman" w:eastAsia="Times New Roman" w:hAnsi="Times New Roman" w:cs="Times New Roman"/>
          <w:sz w:val="24"/>
          <w:szCs w:val="24"/>
        </w:rPr>
      </w:pPr>
    </w:p>
    <w:p w:rsidR="00747D26" w:rsidRPr="002E37B3" w:rsidRDefault="004432EC" w:rsidP="002E37B3">
      <w:pPr>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Application documents</w:t>
      </w:r>
    </w:p>
    <w:p w:rsidR="00747D26" w:rsidRPr="002E37B3" w:rsidRDefault="004432EC" w:rsidP="002E37B3">
      <w:pPr>
        <w:spacing w:before="40" w:line="276" w:lineRule="auto"/>
        <w:ind w:right="-36"/>
        <w:jc w:val="both"/>
        <w:rPr>
          <w:rFonts w:ascii="Times New Roman" w:eastAsia="Times New Roman" w:hAnsi="Times New Roman" w:cs="Times New Roman"/>
          <w:sz w:val="24"/>
          <w:szCs w:val="24"/>
        </w:rPr>
      </w:pPr>
      <w:r w:rsidRPr="002E37B3">
        <w:rPr>
          <w:rFonts w:ascii="Times New Roman" w:hAnsi="Times New Roman" w:cs="Times New Roman"/>
          <w:b/>
          <w:bCs/>
          <w:sz w:val="24"/>
          <w:szCs w:val="24"/>
        </w:rPr>
        <w:t>ARTICLE 7-(1</w:t>
      </w:r>
      <w:r w:rsidRPr="002E37B3">
        <w:rPr>
          <w:rFonts w:ascii="Times New Roman" w:hAnsi="Times New Roman" w:cs="Times New Roman"/>
          <w:b/>
          <w:bCs/>
          <w:sz w:val="24"/>
          <w:szCs w:val="24"/>
        </w:rPr>
        <w:t xml:space="preserve">) </w:t>
      </w:r>
      <w:r w:rsidRPr="002E37B3">
        <w:rPr>
          <w:rFonts w:ascii="Times New Roman" w:hAnsi="Times New Roman" w:cs="Times New Roman"/>
          <w:sz w:val="24"/>
          <w:szCs w:val="24"/>
        </w:rPr>
        <w:t>Students are required to submit the electronic copies of the documents listed below through the online application forms on the Directorate of International Relations website, in full. All documents must be certified copies.  Documents not bearing origin</w:t>
      </w:r>
      <w:r w:rsidRPr="002E37B3">
        <w:rPr>
          <w:rFonts w:ascii="Times New Roman" w:hAnsi="Times New Roman" w:cs="Times New Roman"/>
          <w:sz w:val="24"/>
          <w:szCs w:val="24"/>
        </w:rPr>
        <w:t>al seals and signatures are to be rejected. In addition, all documents must be in Turkish or English.</w:t>
      </w:r>
    </w:p>
    <w:p w:rsidR="00747D26" w:rsidRPr="002E37B3" w:rsidRDefault="004432EC" w:rsidP="002E37B3">
      <w:pPr>
        <w:pStyle w:val="ListeParagraf"/>
        <w:numPr>
          <w:ilvl w:val="0"/>
          <w:numId w:val="4"/>
        </w:numPr>
        <w:tabs>
          <w:tab w:val="left" w:pos="477"/>
        </w:tabs>
        <w:spacing w:line="276"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A certified copy of high school diploma or equivalent for undergraduate programs, a certified copy of the undergraduate diploma for graduate degree programs, certified copies of graduate and undergraduate diplomas for doctorate programs (documents may be c</w:t>
      </w:r>
      <w:r w:rsidRPr="002E37B3">
        <w:rPr>
          <w:rFonts w:ascii="Times New Roman" w:hAnsi="Times New Roman" w:cs="Times New Roman"/>
          <w:sz w:val="24"/>
          <w:szCs w:val="24"/>
        </w:rPr>
        <w:t>ertified by notary or Turkish embassies abroad. Candidates not having received their diploma are required to submit an official document indicating the date of graduation)</w:t>
      </w:r>
    </w:p>
    <w:p w:rsidR="00747D26" w:rsidRPr="002E37B3" w:rsidRDefault="004432EC" w:rsidP="002E37B3">
      <w:pPr>
        <w:pStyle w:val="ListeParagraf"/>
        <w:numPr>
          <w:ilvl w:val="0"/>
          <w:numId w:val="4"/>
        </w:numPr>
        <w:tabs>
          <w:tab w:val="left" w:pos="477"/>
        </w:tabs>
        <w:spacing w:before="2" w:line="268"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A certified and official transcript including high school courses and grades, verifi</w:t>
      </w:r>
      <w:r w:rsidRPr="002E37B3">
        <w:rPr>
          <w:rFonts w:ascii="Times New Roman" w:hAnsi="Times New Roman" w:cs="Times New Roman"/>
          <w:sz w:val="24"/>
          <w:szCs w:val="24"/>
        </w:rPr>
        <w:t>ed by the Directorate of their High School, If the transcript is not issued in Turkish or English, its certified and notarized translation into these languages must be submitted.</w:t>
      </w:r>
    </w:p>
    <w:p w:rsidR="00747D26" w:rsidRPr="002E37B3" w:rsidRDefault="004432EC" w:rsidP="002E37B3">
      <w:pPr>
        <w:pStyle w:val="ListeParagraf"/>
        <w:numPr>
          <w:ilvl w:val="0"/>
          <w:numId w:val="4"/>
        </w:numPr>
        <w:tabs>
          <w:tab w:val="left" w:pos="477"/>
        </w:tabs>
        <w:spacing w:before="4" w:line="266"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The original or a certified copy of the document proving the graduation grade</w:t>
      </w:r>
      <w:r w:rsidRPr="002E37B3">
        <w:rPr>
          <w:rFonts w:ascii="Times New Roman" w:hAnsi="Times New Roman" w:cs="Times New Roman"/>
          <w:sz w:val="24"/>
          <w:szCs w:val="24"/>
        </w:rPr>
        <w:t>s of minimum 50/100 for undergraduate degree program applicants.</w:t>
      </w:r>
    </w:p>
    <w:p w:rsidR="00747D26" w:rsidRPr="002E37B3" w:rsidRDefault="004432EC" w:rsidP="002E37B3">
      <w:pPr>
        <w:spacing w:before="4"/>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ç</w:t>
      </w:r>
      <w:r w:rsidRPr="002E37B3">
        <w:rPr>
          <w:rFonts w:ascii="Times New Roman" w:hAnsi="Times New Roman" w:cs="Times New Roman"/>
          <w:b/>
          <w:sz w:val="24"/>
          <w:szCs w:val="24"/>
        </w:rPr>
        <w:t>)</w:t>
      </w:r>
      <w:r w:rsidRPr="002E37B3">
        <w:rPr>
          <w:rFonts w:ascii="Times New Roman" w:hAnsi="Times New Roman" w:cs="Times New Roman"/>
          <w:sz w:val="24"/>
          <w:szCs w:val="24"/>
        </w:rPr>
        <w:t xml:space="preserve"> Where required, a document to prove that the candidate has passed the interview,</w:t>
      </w:r>
    </w:p>
    <w:p w:rsidR="00747D26" w:rsidRPr="002E37B3" w:rsidRDefault="004432EC" w:rsidP="002E37B3">
      <w:pPr>
        <w:pStyle w:val="ListeParagraf"/>
        <w:numPr>
          <w:ilvl w:val="0"/>
          <w:numId w:val="4"/>
        </w:numPr>
        <w:tabs>
          <w:tab w:val="left" w:pos="477"/>
        </w:tabs>
        <w:spacing w:before="36" w:line="266"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 xml:space="preserve">Additional documents that may be requested by departments such as exam results and </w:t>
      </w:r>
      <w:r w:rsidRPr="002E37B3">
        <w:rPr>
          <w:rFonts w:ascii="Times New Roman" w:hAnsi="Times New Roman" w:cs="Times New Roman"/>
          <w:sz w:val="24"/>
          <w:szCs w:val="24"/>
        </w:rPr>
        <w:lastRenderedPageBreak/>
        <w:t>reference letters for gr</w:t>
      </w:r>
      <w:r w:rsidRPr="002E37B3">
        <w:rPr>
          <w:rFonts w:ascii="Times New Roman" w:hAnsi="Times New Roman" w:cs="Times New Roman"/>
          <w:sz w:val="24"/>
          <w:szCs w:val="24"/>
        </w:rPr>
        <w:t>aduate and doctorate degree programs.</w:t>
      </w:r>
    </w:p>
    <w:p w:rsidR="00747D26" w:rsidRPr="002E37B3" w:rsidRDefault="004432EC" w:rsidP="002E37B3">
      <w:pPr>
        <w:pStyle w:val="ListeParagraf"/>
        <w:numPr>
          <w:ilvl w:val="0"/>
          <w:numId w:val="4"/>
        </w:numPr>
        <w:tabs>
          <w:tab w:val="left" w:pos="477"/>
        </w:tabs>
        <w:spacing w:before="6"/>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Passport copies,</w:t>
      </w:r>
    </w:p>
    <w:p w:rsidR="00747D26" w:rsidRPr="00563F3E" w:rsidRDefault="004432EC" w:rsidP="002E01C2">
      <w:pPr>
        <w:pStyle w:val="ListeParagraf"/>
        <w:numPr>
          <w:ilvl w:val="0"/>
          <w:numId w:val="4"/>
        </w:numPr>
        <w:tabs>
          <w:tab w:val="left" w:pos="477"/>
        </w:tabs>
        <w:spacing w:before="29" w:line="276" w:lineRule="auto"/>
        <w:ind w:left="0" w:right="-36" w:firstLine="0"/>
        <w:jc w:val="both"/>
        <w:rPr>
          <w:rFonts w:ascii="Times New Roman" w:eastAsia="Times New Roman" w:hAnsi="Times New Roman" w:cs="Times New Roman"/>
          <w:sz w:val="24"/>
          <w:szCs w:val="24"/>
        </w:rPr>
      </w:pPr>
      <w:r w:rsidRPr="00563F3E">
        <w:rPr>
          <w:rFonts w:ascii="Times New Roman" w:hAnsi="Times New Roman" w:cs="Times New Roman"/>
          <w:sz w:val="24"/>
          <w:szCs w:val="24"/>
        </w:rPr>
        <w:t>The results of one of the national or international exams provided below, if available.</w:t>
      </w:r>
    </w:p>
    <w:p w:rsidR="00747D26" w:rsidRPr="002E37B3" w:rsidRDefault="00EB4B3B" w:rsidP="00EB4B3B">
      <w:pPr>
        <w:pStyle w:val="ListeParagraf"/>
        <w:numPr>
          <w:ilvl w:val="1"/>
          <w:numId w:val="4"/>
        </w:numPr>
        <w:tabs>
          <w:tab w:val="left" w:pos="567"/>
          <w:tab w:val="left" w:pos="1906"/>
          <w:tab w:val="left" w:pos="2994"/>
          <w:tab w:val="left" w:pos="4012"/>
          <w:tab w:val="left" w:pos="4974"/>
          <w:tab w:val="left" w:pos="6357"/>
          <w:tab w:val="left" w:pos="7111"/>
          <w:tab w:val="left" w:pos="8412"/>
        </w:tabs>
        <w:spacing w:before="55" w:line="278" w:lineRule="auto"/>
        <w:ind w:left="0" w:right="-36"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National Exams: </w:t>
      </w:r>
      <w:r w:rsidR="004432EC" w:rsidRPr="002E37B3">
        <w:rPr>
          <w:rFonts w:ascii="Times New Roman" w:hAnsi="Times New Roman" w:cs="Times New Roman"/>
          <w:sz w:val="24"/>
          <w:szCs w:val="24"/>
        </w:rPr>
        <w:t>Exams held in the countries of international students to place students into higher</w:t>
      </w:r>
      <w:r w:rsidR="004432EC" w:rsidRPr="002E37B3">
        <w:rPr>
          <w:rFonts w:ascii="Times New Roman" w:hAnsi="Times New Roman" w:cs="Times New Roman"/>
          <w:sz w:val="24"/>
          <w:szCs w:val="24"/>
        </w:rPr>
        <w:t xml:space="preserve"> education institutions.</w:t>
      </w:r>
    </w:p>
    <w:p w:rsidR="00747D26" w:rsidRPr="002E37B3" w:rsidRDefault="004432EC" w:rsidP="00EB4B3B">
      <w:pPr>
        <w:pStyle w:val="ListeParagraf"/>
        <w:numPr>
          <w:ilvl w:val="1"/>
          <w:numId w:val="4"/>
        </w:numPr>
        <w:tabs>
          <w:tab w:val="left" w:pos="567"/>
        </w:tabs>
        <w:spacing w:line="276"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International Exams:</w:t>
      </w:r>
      <w:r w:rsidR="00EB4B3B">
        <w:rPr>
          <w:rFonts w:ascii="Times New Roman" w:hAnsi="Times New Roman" w:cs="Times New Roman"/>
          <w:sz w:val="24"/>
          <w:szCs w:val="24"/>
        </w:rPr>
        <w:t xml:space="preserve"> </w:t>
      </w:r>
      <w:r w:rsidRPr="002E37B3">
        <w:rPr>
          <w:rFonts w:ascii="Times New Roman" w:hAnsi="Times New Roman" w:cs="Times New Roman"/>
          <w:sz w:val="24"/>
          <w:szCs w:val="24"/>
        </w:rPr>
        <w:t>International exams recognized by the Higher Education Council.</w:t>
      </w:r>
    </w:p>
    <w:p w:rsidR="00747D26" w:rsidRPr="002E37B3" w:rsidRDefault="00747D26" w:rsidP="002E37B3">
      <w:pPr>
        <w:spacing w:before="7"/>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Registration documents and conditions</w:t>
      </w:r>
    </w:p>
    <w:p w:rsidR="00747D26" w:rsidRPr="002E37B3" w:rsidRDefault="004432EC" w:rsidP="002E37B3">
      <w:pPr>
        <w:spacing w:before="41" w:line="276" w:lineRule="auto"/>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 xml:space="preserve">ARTICLE 8 - (1) </w:t>
      </w:r>
      <w:r w:rsidRPr="002E37B3">
        <w:rPr>
          <w:rFonts w:ascii="Times New Roman" w:hAnsi="Times New Roman" w:cs="Times New Roman"/>
          <w:sz w:val="24"/>
          <w:szCs w:val="24"/>
        </w:rPr>
        <w:t xml:space="preserve">Students meeting any of the conditions specified in </w:t>
      </w:r>
      <w:r w:rsidRPr="002E37B3">
        <w:rPr>
          <w:rFonts w:ascii="Times New Roman" w:hAnsi="Times New Roman" w:cs="Times New Roman"/>
          <w:b/>
          <w:sz w:val="24"/>
          <w:szCs w:val="24"/>
        </w:rPr>
        <w:t>Paragraphs a, b, c of Article 5</w:t>
      </w:r>
      <w:r w:rsidRPr="002E37B3">
        <w:rPr>
          <w:rFonts w:ascii="Times New Roman" w:hAnsi="Times New Roman" w:cs="Times New Roman"/>
          <w:sz w:val="24"/>
          <w:szCs w:val="24"/>
        </w:rPr>
        <w:t xml:space="preserve"> are registered in the University on the condition that they submit the required documents in full.</w:t>
      </w:r>
    </w:p>
    <w:p w:rsidR="00747D26" w:rsidRPr="002E37B3" w:rsidRDefault="004432EC" w:rsidP="002E37B3">
      <w:pPr>
        <w:pStyle w:val="ListeParagraf"/>
        <w:numPr>
          <w:ilvl w:val="0"/>
          <w:numId w:val="3"/>
        </w:numPr>
        <w:tabs>
          <w:tab w:val="left" w:pos="477"/>
        </w:tabs>
        <w:spacing w:line="275" w:lineRule="exact"/>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For application purposes, students are required to provide: Original or authenticated copies of the documents specified in Article 7,</w:t>
      </w:r>
    </w:p>
    <w:p w:rsidR="00747D26" w:rsidRPr="002E37B3" w:rsidRDefault="00747D26" w:rsidP="002E37B3">
      <w:pPr>
        <w:spacing w:before="9"/>
        <w:ind w:right="-36"/>
        <w:jc w:val="both"/>
        <w:rPr>
          <w:rFonts w:ascii="Times New Roman" w:eastAsia="Times New Roman" w:hAnsi="Times New Roman" w:cs="Times New Roman"/>
          <w:sz w:val="24"/>
          <w:szCs w:val="24"/>
        </w:rPr>
      </w:pPr>
    </w:p>
    <w:p w:rsidR="00747D26" w:rsidRPr="002E37B3" w:rsidRDefault="004432EC" w:rsidP="002E37B3">
      <w:pPr>
        <w:pStyle w:val="ListeParagraf"/>
        <w:numPr>
          <w:ilvl w:val="0"/>
          <w:numId w:val="3"/>
        </w:numPr>
        <w:tabs>
          <w:tab w:val="left" w:pos="400"/>
        </w:tabs>
        <w:ind w:left="0" w:right="-36" w:firstLine="0"/>
        <w:jc w:val="both"/>
        <w:rPr>
          <w:rFonts w:ascii="Times New Roman" w:eastAsia="Times New Roman" w:hAnsi="Times New Roman" w:cs="Times New Roman"/>
          <w:sz w:val="24"/>
          <w:szCs w:val="24"/>
        </w:rPr>
      </w:pPr>
      <w:r w:rsidRPr="002E37B3">
        <w:rPr>
          <w:rFonts w:ascii="Times New Roman" w:hAnsi="Times New Roman" w:cs="Times New Roman"/>
          <w:b/>
          <w:sz w:val="24"/>
          <w:szCs w:val="24"/>
        </w:rPr>
        <w:t>(Senate Resolution da</w:t>
      </w:r>
      <w:r w:rsidRPr="002E37B3">
        <w:rPr>
          <w:rFonts w:ascii="Times New Roman" w:hAnsi="Times New Roman" w:cs="Times New Roman"/>
          <w:b/>
          <w:sz w:val="24"/>
          <w:szCs w:val="24"/>
        </w:rPr>
        <w:t xml:space="preserve">ted 22.08.2023 no. 10) </w:t>
      </w:r>
      <w:r w:rsidRPr="002E37B3">
        <w:rPr>
          <w:rFonts w:ascii="Times New Roman" w:hAnsi="Times New Roman" w:cs="Times New Roman"/>
          <w:sz w:val="24"/>
          <w:szCs w:val="24"/>
        </w:rPr>
        <w:t>An “Equivalence Certificate” to be obtained from the Ministry of National Education of the Republic of Türkiye showing that the high school diploma holder in question has graduated from a school equivalent to a Turkish High School, o</w:t>
      </w:r>
      <w:r w:rsidRPr="002E37B3">
        <w:rPr>
          <w:rFonts w:ascii="Times New Roman" w:hAnsi="Times New Roman" w:cs="Times New Roman"/>
          <w:sz w:val="24"/>
          <w:szCs w:val="24"/>
        </w:rPr>
        <w:t xml:space="preserve">r an Apostille for graduates; or a document proving that the individual in question is to receive a diploma approved by the Ministry of Education, the Ministry of Foreign Affairs or the Embassy, in cases where an Apostille is unavailable  (An “Equivalence </w:t>
      </w:r>
      <w:r w:rsidRPr="002E37B3">
        <w:rPr>
          <w:rFonts w:ascii="Times New Roman" w:hAnsi="Times New Roman" w:cs="Times New Roman"/>
          <w:sz w:val="24"/>
          <w:szCs w:val="24"/>
        </w:rPr>
        <w:t>Certificate” from the Ministry of National Education of the Republic of Türkiye is a requirement for Turkish nationals)</w:t>
      </w:r>
    </w:p>
    <w:p w:rsidR="00747D26" w:rsidRPr="002E37B3" w:rsidRDefault="00747D26" w:rsidP="002E37B3">
      <w:pPr>
        <w:ind w:right="-36"/>
        <w:jc w:val="both"/>
        <w:rPr>
          <w:rFonts w:ascii="Times New Roman" w:eastAsia="Times New Roman" w:hAnsi="Times New Roman" w:cs="Times New Roman"/>
          <w:sz w:val="24"/>
          <w:szCs w:val="24"/>
        </w:rPr>
      </w:pPr>
    </w:p>
    <w:p w:rsidR="00747D26" w:rsidRPr="002E37B3" w:rsidRDefault="004432EC" w:rsidP="002E37B3">
      <w:pPr>
        <w:pStyle w:val="ListeParagraf"/>
        <w:numPr>
          <w:ilvl w:val="0"/>
          <w:numId w:val="3"/>
        </w:numPr>
        <w:tabs>
          <w:tab w:val="left" w:pos="417"/>
        </w:tabs>
        <w:ind w:left="0" w:right="-36" w:firstLine="0"/>
        <w:jc w:val="both"/>
        <w:rPr>
          <w:rFonts w:ascii="Times New Roman" w:eastAsia="Times New Roman" w:hAnsi="Times New Roman" w:cs="Times New Roman"/>
          <w:sz w:val="24"/>
          <w:szCs w:val="24"/>
        </w:rPr>
      </w:pPr>
      <w:r w:rsidRPr="002E37B3">
        <w:rPr>
          <w:rFonts w:ascii="Times New Roman" w:hAnsi="Times New Roman" w:cs="Times New Roman"/>
          <w:b/>
          <w:sz w:val="24"/>
          <w:szCs w:val="24"/>
        </w:rPr>
        <w:t xml:space="preserve">(Senate Resolution dated 22.08.2023 no. 10) </w:t>
      </w:r>
      <w:r w:rsidRPr="002E37B3">
        <w:rPr>
          <w:rFonts w:ascii="Times New Roman" w:hAnsi="Times New Roman" w:cs="Times New Roman"/>
          <w:sz w:val="24"/>
          <w:szCs w:val="24"/>
        </w:rPr>
        <w:t>A recognition certificate for the undergraduate and graduate diplomas approved by the Highe</w:t>
      </w:r>
      <w:r w:rsidRPr="002E37B3">
        <w:rPr>
          <w:rFonts w:ascii="Times New Roman" w:hAnsi="Times New Roman" w:cs="Times New Roman"/>
          <w:sz w:val="24"/>
          <w:szCs w:val="24"/>
        </w:rPr>
        <w:t>r Education Council (an Equivalence Certificate for programs involving clinical practice courses)</w:t>
      </w:r>
    </w:p>
    <w:p w:rsidR="00747D26" w:rsidRPr="002E37B3" w:rsidRDefault="00747D26" w:rsidP="002E37B3">
      <w:pPr>
        <w:spacing w:before="4"/>
        <w:ind w:right="-36"/>
        <w:jc w:val="both"/>
        <w:rPr>
          <w:rFonts w:ascii="Times New Roman" w:eastAsia="Times New Roman" w:hAnsi="Times New Roman" w:cs="Times New Roman"/>
          <w:sz w:val="24"/>
          <w:szCs w:val="24"/>
        </w:rPr>
      </w:pPr>
    </w:p>
    <w:p w:rsidR="00747D26" w:rsidRPr="002E37B3" w:rsidRDefault="004432EC" w:rsidP="002E37B3">
      <w:pPr>
        <w:pStyle w:val="GvdeMetni"/>
        <w:ind w:left="0" w:right="-36"/>
        <w:jc w:val="both"/>
        <w:rPr>
          <w:rFonts w:cs="Times New Roman"/>
        </w:rPr>
      </w:pPr>
      <w:r w:rsidRPr="002E37B3">
        <w:rPr>
          <w:rFonts w:cs="Times New Roman"/>
          <w:b/>
        </w:rPr>
        <w:t xml:space="preserve">ç) </w:t>
      </w:r>
      <w:r w:rsidRPr="002E37B3">
        <w:rPr>
          <w:rFonts w:cs="Times New Roman"/>
        </w:rPr>
        <w:t xml:space="preserve">Students who are to register to Atılım University programs in English are required to document that they meet the conditions of Articles 10 and 11 during </w:t>
      </w:r>
      <w:r w:rsidRPr="002E37B3">
        <w:rPr>
          <w:rFonts w:cs="Times New Roman"/>
        </w:rPr>
        <w:t>registration.</w:t>
      </w:r>
    </w:p>
    <w:p w:rsidR="00747D26" w:rsidRPr="002E37B3" w:rsidRDefault="004432EC" w:rsidP="002E37B3">
      <w:pPr>
        <w:pStyle w:val="GvdeMetni"/>
        <w:spacing w:before="45" w:line="276" w:lineRule="auto"/>
        <w:ind w:left="0" w:right="-36"/>
        <w:jc w:val="both"/>
        <w:rPr>
          <w:rFonts w:cs="Times New Roman"/>
        </w:rPr>
      </w:pPr>
      <w:r w:rsidRPr="002E37B3">
        <w:rPr>
          <w:rFonts w:cs="Times New Roman"/>
        </w:rPr>
        <w:t xml:space="preserve">  </w:t>
      </w:r>
      <w:r w:rsidRPr="002E37B3">
        <w:rPr>
          <w:rFonts w:cs="Times New Roman"/>
        </w:rPr>
        <w:t>Students not meeting the language requirements as per Article 11 are registered to the Preparatory School. Preparatory School students may not take courses of their major.</w:t>
      </w:r>
    </w:p>
    <w:p w:rsidR="00747D26" w:rsidRPr="002E37B3" w:rsidRDefault="004432EC" w:rsidP="002E37B3">
      <w:pPr>
        <w:pStyle w:val="GvdeMetni"/>
        <w:spacing w:before="5" w:line="273" w:lineRule="auto"/>
        <w:ind w:left="0" w:right="-36"/>
        <w:jc w:val="both"/>
        <w:rPr>
          <w:rFonts w:cs="Times New Roman"/>
        </w:rPr>
      </w:pPr>
      <w:r w:rsidRPr="002E37B3">
        <w:rPr>
          <w:rFonts w:cs="Times New Roman"/>
          <w:b/>
        </w:rPr>
        <w:t xml:space="preserve">b) </w:t>
      </w:r>
      <w:r w:rsidRPr="002E37B3">
        <w:rPr>
          <w:rFonts w:cs="Times New Roman"/>
        </w:rPr>
        <w:t xml:space="preserve">However, students who are to register to Atılım University programs in Turkish are required to document that they meet the conditions of Paragraph 3 of Article 10 during registration. </w:t>
      </w:r>
      <w:r w:rsidRPr="002E37B3">
        <w:rPr>
          <w:rFonts w:cs="Times New Roman"/>
        </w:rPr>
        <w:t xml:space="preserve"> </w:t>
      </w:r>
      <w:r w:rsidRPr="002E37B3">
        <w:rPr>
          <w:rFonts w:cs="Times New Roman"/>
        </w:rPr>
        <w:t>Students unable to document accordingly may not register to any program</w:t>
      </w:r>
      <w:r w:rsidRPr="002E37B3">
        <w:rPr>
          <w:rFonts w:cs="Times New Roman"/>
        </w:rPr>
        <w:t>.</w:t>
      </w:r>
    </w:p>
    <w:p w:rsidR="00747D26" w:rsidRPr="002E37B3" w:rsidRDefault="00747D26" w:rsidP="002E37B3">
      <w:pPr>
        <w:spacing w:before="1"/>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Quotas</w:t>
      </w:r>
    </w:p>
    <w:p w:rsidR="00747D26" w:rsidRDefault="004432EC" w:rsidP="00563F3E">
      <w:pPr>
        <w:pStyle w:val="GvdeMetni"/>
        <w:spacing w:before="41" w:line="276" w:lineRule="auto"/>
        <w:ind w:left="0" w:right="-36"/>
        <w:jc w:val="both"/>
        <w:rPr>
          <w:rFonts w:cs="Times New Roman"/>
        </w:rPr>
      </w:pPr>
      <w:r w:rsidRPr="002E37B3">
        <w:rPr>
          <w:rFonts w:cs="Times New Roman"/>
          <w:b/>
        </w:rPr>
        <w:t>ARTICLE 9-(1)</w:t>
      </w:r>
      <w:r w:rsidRPr="002E37B3">
        <w:rPr>
          <w:rFonts w:cs="Times New Roman"/>
        </w:rPr>
        <w:t xml:space="preserve"> The University allocates quotas for international students on a department basis and submits the proposal to the Higher Education Council.</w:t>
      </w:r>
      <w:r w:rsidRPr="002E37B3">
        <w:rPr>
          <w:rFonts w:cs="Times New Roman"/>
        </w:rPr>
        <w:t xml:space="preserve">   </w:t>
      </w:r>
      <w:r w:rsidRPr="002E37B3">
        <w:rPr>
          <w:rFonts w:cs="Times New Roman"/>
        </w:rPr>
        <w:t xml:space="preserve">Quotas approved by the Council are announced by the University. Students are registered on </w:t>
      </w:r>
      <w:r w:rsidRPr="002E37B3">
        <w:rPr>
          <w:rFonts w:cs="Times New Roman"/>
        </w:rPr>
        <w:t>the basis of these quotas. Incomplete or vacant quotas are added to other departments’ quotas upon the approval of the Higher Education Council.</w:t>
      </w:r>
    </w:p>
    <w:p w:rsidR="00747D26" w:rsidRDefault="00747D26" w:rsidP="002E37B3">
      <w:pPr>
        <w:spacing w:before="7"/>
        <w:ind w:right="-36"/>
        <w:jc w:val="both"/>
        <w:rPr>
          <w:rFonts w:ascii="Times New Roman" w:eastAsia="Times New Roman" w:hAnsi="Times New Roman" w:cs="Times New Roman"/>
          <w:sz w:val="24"/>
          <w:szCs w:val="24"/>
        </w:rPr>
      </w:pPr>
    </w:p>
    <w:p w:rsidR="00EB4B3B" w:rsidRDefault="00EB4B3B" w:rsidP="002E37B3">
      <w:pPr>
        <w:spacing w:before="7"/>
        <w:ind w:right="-36"/>
        <w:jc w:val="both"/>
        <w:rPr>
          <w:rFonts w:ascii="Times New Roman" w:eastAsia="Times New Roman" w:hAnsi="Times New Roman" w:cs="Times New Roman"/>
          <w:sz w:val="24"/>
          <w:szCs w:val="24"/>
        </w:rPr>
      </w:pPr>
    </w:p>
    <w:p w:rsidR="00EB4B3B" w:rsidRDefault="00EB4B3B" w:rsidP="002E37B3">
      <w:pPr>
        <w:spacing w:before="7"/>
        <w:ind w:right="-36"/>
        <w:jc w:val="both"/>
        <w:rPr>
          <w:rFonts w:ascii="Times New Roman" w:eastAsia="Times New Roman" w:hAnsi="Times New Roman" w:cs="Times New Roman"/>
          <w:sz w:val="24"/>
          <w:szCs w:val="24"/>
        </w:rPr>
      </w:pPr>
    </w:p>
    <w:p w:rsidR="00EB4B3B" w:rsidRDefault="00EB4B3B" w:rsidP="002E37B3">
      <w:pPr>
        <w:spacing w:before="7"/>
        <w:ind w:right="-36"/>
        <w:jc w:val="both"/>
        <w:rPr>
          <w:rFonts w:ascii="Times New Roman" w:eastAsia="Times New Roman" w:hAnsi="Times New Roman" w:cs="Times New Roman"/>
          <w:sz w:val="24"/>
          <w:szCs w:val="24"/>
        </w:rPr>
      </w:pPr>
    </w:p>
    <w:p w:rsidR="00EB4B3B" w:rsidRDefault="00EB4B3B" w:rsidP="002E37B3">
      <w:pPr>
        <w:spacing w:before="7"/>
        <w:ind w:right="-36"/>
        <w:jc w:val="both"/>
        <w:rPr>
          <w:rFonts w:ascii="Times New Roman" w:eastAsia="Times New Roman" w:hAnsi="Times New Roman" w:cs="Times New Roman"/>
          <w:sz w:val="24"/>
          <w:szCs w:val="24"/>
        </w:rPr>
      </w:pPr>
    </w:p>
    <w:p w:rsidR="00EB4B3B" w:rsidRDefault="00EB4B3B" w:rsidP="002E37B3">
      <w:pPr>
        <w:spacing w:before="7"/>
        <w:ind w:right="-36"/>
        <w:jc w:val="both"/>
        <w:rPr>
          <w:rFonts w:ascii="Times New Roman" w:eastAsia="Times New Roman" w:hAnsi="Times New Roman" w:cs="Times New Roman"/>
          <w:sz w:val="24"/>
          <w:szCs w:val="24"/>
        </w:rPr>
      </w:pPr>
    </w:p>
    <w:p w:rsidR="00EB4B3B" w:rsidRPr="002E37B3" w:rsidRDefault="00EB4B3B" w:rsidP="002E37B3">
      <w:pPr>
        <w:spacing w:before="7"/>
        <w:ind w:right="-36"/>
        <w:jc w:val="both"/>
        <w:rPr>
          <w:rFonts w:ascii="Times New Roman" w:eastAsia="Times New Roman" w:hAnsi="Times New Roman" w:cs="Times New Roman"/>
          <w:sz w:val="24"/>
          <w:szCs w:val="24"/>
        </w:rPr>
      </w:pPr>
    </w:p>
    <w:p w:rsidR="00747D26" w:rsidRPr="002E37B3" w:rsidRDefault="004432EC" w:rsidP="00563F3E">
      <w:pPr>
        <w:pStyle w:val="Balk1"/>
        <w:spacing w:before="69"/>
        <w:ind w:left="0" w:right="-36"/>
        <w:jc w:val="center"/>
        <w:rPr>
          <w:rFonts w:cs="Times New Roman"/>
          <w:b w:val="0"/>
          <w:bCs w:val="0"/>
        </w:rPr>
      </w:pPr>
      <w:r w:rsidRPr="002E37B3">
        <w:rPr>
          <w:rFonts w:cs="Times New Roman"/>
        </w:rPr>
        <w:t>SECTION THREE</w:t>
      </w:r>
    </w:p>
    <w:p w:rsidR="00563F3E" w:rsidRDefault="004432EC" w:rsidP="00563F3E">
      <w:pPr>
        <w:spacing w:before="43" w:line="276" w:lineRule="auto"/>
        <w:ind w:right="-36"/>
        <w:jc w:val="center"/>
        <w:rPr>
          <w:rFonts w:ascii="Times New Roman" w:hAnsi="Times New Roman" w:cs="Times New Roman"/>
          <w:b/>
          <w:sz w:val="24"/>
          <w:szCs w:val="24"/>
        </w:rPr>
      </w:pPr>
      <w:r w:rsidRPr="002E37B3">
        <w:rPr>
          <w:rFonts w:ascii="Times New Roman" w:hAnsi="Times New Roman" w:cs="Times New Roman"/>
          <w:b/>
          <w:sz w:val="24"/>
          <w:szCs w:val="24"/>
        </w:rPr>
        <w:t>Language of Instruction, Proficiency Exam Results, Finalization of Applications</w:t>
      </w:r>
    </w:p>
    <w:p w:rsidR="00747D26" w:rsidRPr="002E37B3" w:rsidRDefault="004432EC" w:rsidP="00563F3E">
      <w:pPr>
        <w:spacing w:before="43" w:line="276" w:lineRule="auto"/>
        <w:ind w:right="-36"/>
        <w:jc w:val="center"/>
        <w:rPr>
          <w:rFonts w:ascii="Times New Roman" w:eastAsia="Times New Roman" w:hAnsi="Times New Roman" w:cs="Times New Roman"/>
          <w:sz w:val="24"/>
          <w:szCs w:val="24"/>
        </w:rPr>
      </w:pPr>
      <w:r w:rsidRPr="002E37B3">
        <w:rPr>
          <w:rFonts w:ascii="Times New Roman" w:hAnsi="Times New Roman" w:cs="Times New Roman"/>
          <w:b/>
          <w:sz w:val="24"/>
          <w:szCs w:val="24"/>
        </w:rPr>
        <w:t>Validity of Exam Results</w:t>
      </w:r>
    </w:p>
    <w:p w:rsidR="00563F3E" w:rsidRDefault="004432EC" w:rsidP="002E37B3">
      <w:pPr>
        <w:spacing w:before="3" w:line="276" w:lineRule="auto"/>
        <w:ind w:right="-36"/>
        <w:jc w:val="both"/>
        <w:rPr>
          <w:rFonts w:ascii="Times New Roman" w:hAnsi="Times New Roman" w:cs="Times New Roman"/>
          <w:b/>
          <w:sz w:val="24"/>
          <w:szCs w:val="24"/>
        </w:rPr>
      </w:pPr>
      <w:r w:rsidRPr="002E37B3">
        <w:rPr>
          <w:rFonts w:ascii="Times New Roman" w:hAnsi="Times New Roman" w:cs="Times New Roman"/>
          <w:b/>
          <w:sz w:val="24"/>
          <w:szCs w:val="24"/>
        </w:rPr>
        <w:t>Language of instruction</w:t>
      </w:r>
    </w:p>
    <w:p w:rsidR="00747D26" w:rsidRPr="002E37B3" w:rsidRDefault="004432EC" w:rsidP="002E37B3">
      <w:pPr>
        <w:spacing w:before="3" w:line="276" w:lineRule="auto"/>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ARTICLE 10-(1)</w:t>
      </w:r>
    </w:p>
    <w:p w:rsidR="00747D26" w:rsidRPr="002E37B3" w:rsidRDefault="004432EC" w:rsidP="002E37B3">
      <w:pPr>
        <w:pStyle w:val="GvdeMetni"/>
        <w:spacing w:before="1" w:line="276" w:lineRule="auto"/>
        <w:ind w:left="0" w:right="-36"/>
        <w:jc w:val="both"/>
        <w:rPr>
          <w:rFonts w:cs="Times New Roman"/>
        </w:rPr>
      </w:pPr>
      <w:r w:rsidRPr="002E37B3">
        <w:rPr>
          <w:rFonts w:cs="Times New Roman"/>
        </w:rPr>
        <w:t>The students who fail the English Proficiency Exam held for the programs in English at Atılım University are r</w:t>
      </w:r>
      <w:r w:rsidRPr="002E37B3">
        <w:rPr>
          <w:rFonts w:cs="Times New Roman"/>
        </w:rPr>
        <w:t>egistered in the Preparatory School.</w:t>
      </w:r>
    </w:p>
    <w:p w:rsidR="00747D26" w:rsidRPr="002E37B3" w:rsidRDefault="004432EC" w:rsidP="002E37B3">
      <w:pPr>
        <w:pStyle w:val="ListeParagraf"/>
        <w:numPr>
          <w:ilvl w:val="0"/>
          <w:numId w:val="2"/>
        </w:numPr>
        <w:tabs>
          <w:tab w:val="left" w:pos="503"/>
        </w:tabs>
        <w:spacing w:before="1" w:line="278"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Students who submit a valid and recognized certificate of proficiency are exempted from the Preparatory School.</w:t>
      </w:r>
    </w:p>
    <w:p w:rsidR="00747D26" w:rsidRPr="002E37B3" w:rsidRDefault="004432EC" w:rsidP="002E37B3">
      <w:pPr>
        <w:pStyle w:val="ListeParagraf"/>
        <w:numPr>
          <w:ilvl w:val="0"/>
          <w:numId w:val="2"/>
        </w:numPr>
        <w:tabs>
          <w:tab w:val="left" w:pos="400"/>
        </w:tabs>
        <w:spacing w:line="276"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 xml:space="preserve">Some departments offer education in Turkish. </w:t>
      </w:r>
      <w:r w:rsidRPr="002E37B3">
        <w:rPr>
          <w:rFonts w:ascii="Times New Roman" w:hAnsi="Times New Roman" w:cs="Times New Roman"/>
          <w:sz w:val="24"/>
          <w:szCs w:val="24"/>
        </w:rPr>
        <w:t>Students applying to programs in Turkish are required to present a TÖMER document showing that they score at least C1 regarding their proficiency in Turkish.</w:t>
      </w:r>
    </w:p>
    <w:p w:rsidR="00747D26" w:rsidRPr="002E37B3" w:rsidRDefault="00747D26" w:rsidP="002E37B3">
      <w:pPr>
        <w:spacing w:before="2"/>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Proficiency exams</w:t>
      </w:r>
    </w:p>
    <w:p w:rsidR="00747D26" w:rsidRPr="002E37B3" w:rsidRDefault="004432EC" w:rsidP="002E37B3">
      <w:pPr>
        <w:pStyle w:val="GvdeMetni"/>
        <w:spacing w:before="41" w:line="276" w:lineRule="auto"/>
        <w:ind w:left="0" w:right="-36"/>
        <w:jc w:val="both"/>
        <w:rPr>
          <w:rFonts w:cs="Times New Roman"/>
        </w:rPr>
      </w:pPr>
      <w:r w:rsidRPr="002E37B3">
        <w:rPr>
          <w:rFonts w:cs="Times New Roman"/>
          <w:b/>
        </w:rPr>
        <w:t>ARTICLE 11-(1)</w:t>
      </w:r>
      <w:r w:rsidRPr="002E37B3">
        <w:rPr>
          <w:rFonts w:cs="Times New Roman"/>
        </w:rPr>
        <w:t xml:space="preserve"> The names and required minimum scores of the proficiency examina</w:t>
      </w:r>
      <w:r w:rsidRPr="002E37B3">
        <w:rPr>
          <w:rFonts w:cs="Times New Roman"/>
        </w:rPr>
        <w:t xml:space="preserve">tions recognized by Atılım University for Associate Degree, Undergraduate Degree, Master Degree and Doctorate Degree programs are given below. </w:t>
      </w:r>
      <w:r w:rsidRPr="002E37B3">
        <w:rPr>
          <w:rFonts w:cs="Times New Roman"/>
        </w:rPr>
        <w:t>(YDS, CPE, CAE, TOEFL IBT, PTE Academic, IELTS)</w:t>
      </w:r>
    </w:p>
    <w:p w:rsidR="00747D26" w:rsidRPr="002E37B3" w:rsidRDefault="00747D26" w:rsidP="002E37B3">
      <w:pPr>
        <w:spacing w:before="5"/>
        <w:ind w:right="-36"/>
        <w:jc w:val="both"/>
        <w:rPr>
          <w:rFonts w:ascii="Times New Roman" w:eastAsia="Times New Roman" w:hAnsi="Times New Roman" w:cs="Times New Roman"/>
          <w:sz w:val="24"/>
          <w:szCs w:val="24"/>
        </w:rPr>
      </w:pPr>
    </w:p>
    <w:tbl>
      <w:tblPr>
        <w:tblStyle w:val="TableNormal"/>
        <w:tblW w:w="0" w:type="auto"/>
        <w:tblInd w:w="123" w:type="dxa"/>
        <w:tblLayout w:type="fixed"/>
        <w:tblLook w:val="01E0" w:firstRow="1" w:lastRow="1" w:firstColumn="1" w:lastColumn="1" w:noHBand="0" w:noVBand="0"/>
      </w:tblPr>
      <w:tblGrid>
        <w:gridCol w:w="3797"/>
        <w:gridCol w:w="1769"/>
        <w:gridCol w:w="1340"/>
        <w:gridCol w:w="1892"/>
      </w:tblGrid>
      <w:tr w:rsidR="00747D26" w:rsidRPr="002E37B3">
        <w:trPr>
          <w:trHeight w:hRule="exact" w:val="528"/>
        </w:trPr>
        <w:tc>
          <w:tcPr>
            <w:tcW w:w="3797"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2E37B3">
            <w:pPr>
              <w:pStyle w:val="TableParagraph"/>
              <w:spacing w:line="273" w:lineRule="exact"/>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Examination Types</w:t>
            </w:r>
          </w:p>
        </w:tc>
        <w:tc>
          <w:tcPr>
            <w:tcW w:w="5001" w:type="dxa"/>
            <w:gridSpan w:val="3"/>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b/>
                <w:sz w:val="24"/>
                <w:szCs w:val="24"/>
              </w:rPr>
              <w:t>Scores</w:t>
            </w:r>
          </w:p>
        </w:tc>
      </w:tr>
      <w:tr w:rsidR="00747D26" w:rsidRPr="002E37B3">
        <w:trPr>
          <w:trHeight w:hRule="exact" w:val="526"/>
        </w:trPr>
        <w:tc>
          <w:tcPr>
            <w:tcW w:w="3797"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2E37B3">
            <w:pPr>
              <w:pStyle w:val="TableParagraph"/>
              <w:spacing w:line="273" w:lineRule="exact"/>
              <w:ind w:right="-36"/>
              <w:jc w:val="both"/>
              <w:rPr>
                <w:rFonts w:ascii="Times New Roman" w:eastAsia="Times New Roman" w:hAnsi="Times New Roman" w:cs="Times New Roman"/>
                <w:sz w:val="24"/>
                <w:szCs w:val="24"/>
              </w:rPr>
            </w:pPr>
            <w:r w:rsidRPr="002E37B3">
              <w:rPr>
                <w:rFonts w:ascii="Times New Roman" w:hAnsi="Times New Roman" w:cs="Times New Roman"/>
                <w:sz w:val="24"/>
                <w:szCs w:val="24"/>
              </w:rPr>
              <w:t>AEPE</w:t>
            </w:r>
          </w:p>
        </w:tc>
        <w:tc>
          <w:tcPr>
            <w:tcW w:w="1769"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60</w:t>
            </w:r>
          </w:p>
        </w:tc>
        <w:tc>
          <w:tcPr>
            <w:tcW w:w="1340"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65</w:t>
            </w:r>
          </w:p>
        </w:tc>
        <w:tc>
          <w:tcPr>
            <w:tcW w:w="1892"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70/100</w:t>
            </w:r>
          </w:p>
        </w:tc>
      </w:tr>
      <w:tr w:rsidR="00747D26" w:rsidRPr="002E37B3">
        <w:trPr>
          <w:trHeight w:hRule="exact" w:val="528"/>
        </w:trPr>
        <w:tc>
          <w:tcPr>
            <w:tcW w:w="3797" w:type="dxa"/>
            <w:tcBorders>
              <w:top w:val="single" w:sz="4" w:space="0" w:color="000000"/>
              <w:left w:val="single" w:sz="4" w:space="0" w:color="000000"/>
              <w:bottom w:val="single" w:sz="4" w:space="0" w:color="000000"/>
              <w:right w:val="single" w:sz="4" w:space="0" w:color="000000"/>
            </w:tcBorders>
          </w:tcPr>
          <w:p w:rsidR="00747D26" w:rsidRPr="002E37B3" w:rsidRDefault="004432EC" w:rsidP="002E37B3">
            <w:pPr>
              <w:pStyle w:val="TableParagraph"/>
              <w:spacing w:line="275" w:lineRule="exact"/>
              <w:ind w:right="-36"/>
              <w:jc w:val="both"/>
              <w:rPr>
                <w:rFonts w:ascii="Times New Roman" w:eastAsia="Times New Roman" w:hAnsi="Times New Roman" w:cs="Times New Roman"/>
                <w:sz w:val="24"/>
                <w:szCs w:val="24"/>
              </w:rPr>
            </w:pPr>
            <w:r w:rsidRPr="002E37B3">
              <w:rPr>
                <w:rFonts w:ascii="Times New Roman" w:hAnsi="Times New Roman" w:cs="Times New Roman"/>
                <w:sz w:val="24"/>
                <w:szCs w:val="24"/>
              </w:rPr>
              <w:t>TOEFL IBT, Essay: Minimum 20</w:t>
            </w:r>
          </w:p>
        </w:tc>
        <w:tc>
          <w:tcPr>
            <w:tcW w:w="1769" w:type="dxa"/>
            <w:tcBorders>
              <w:top w:val="single" w:sz="4" w:space="0" w:color="000000"/>
              <w:left w:val="single" w:sz="4" w:space="0" w:color="000000"/>
              <w:bottom w:val="single" w:sz="4" w:space="0" w:color="000000"/>
              <w:right w:val="single" w:sz="4" w:space="0" w:color="000000"/>
            </w:tcBorders>
          </w:tcPr>
          <w:p w:rsidR="00747D26" w:rsidRPr="002E37B3" w:rsidRDefault="004432EC" w:rsidP="00EB4B3B">
            <w:pPr>
              <w:pStyle w:val="TableParagraph"/>
              <w:spacing w:line="275"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75</w:t>
            </w:r>
          </w:p>
        </w:tc>
        <w:tc>
          <w:tcPr>
            <w:tcW w:w="1340" w:type="dxa"/>
            <w:tcBorders>
              <w:top w:val="single" w:sz="4" w:space="0" w:color="000000"/>
              <w:left w:val="single" w:sz="4" w:space="0" w:color="000000"/>
              <w:bottom w:val="single" w:sz="4" w:space="0" w:color="000000"/>
              <w:right w:val="single" w:sz="4" w:space="0" w:color="000000"/>
            </w:tcBorders>
          </w:tcPr>
          <w:p w:rsidR="00747D26" w:rsidRPr="002E37B3" w:rsidRDefault="004432EC" w:rsidP="00EB4B3B">
            <w:pPr>
              <w:pStyle w:val="TableParagraph"/>
              <w:spacing w:line="275"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79</w:t>
            </w:r>
          </w:p>
        </w:tc>
        <w:tc>
          <w:tcPr>
            <w:tcW w:w="1892" w:type="dxa"/>
            <w:tcBorders>
              <w:top w:val="single" w:sz="4" w:space="0" w:color="000000"/>
              <w:left w:val="single" w:sz="4" w:space="0" w:color="000000"/>
              <w:bottom w:val="single" w:sz="4" w:space="0" w:color="000000"/>
              <w:right w:val="single" w:sz="4" w:space="0" w:color="000000"/>
            </w:tcBorders>
          </w:tcPr>
          <w:p w:rsidR="00747D26" w:rsidRPr="002E37B3" w:rsidRDefault="004432EC" w:rsidP="00EB4B3B">
            <w:pPr>
              <w:pStyle w:val="TableParagraph"/>
              <w:spacing w:line="275"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85/120</w:t>
            </w:r>
          </w:p>
        </w:tc>
      </w:tr>
      <w:tr w:rsidR="00747D26" w:rsidRPr="002E37B3">
        <w:trPr>
          <w:trHeight w:hRule="exact" w:val="528"/>
        </w:trPr>
        <w:tc>
          <w:tcPr>
            <w:tcW w:w="3797"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2E37B3">
            <w:pPr>
              <w:pStyle w:val="TableParagraph"/>
              <w:spacing w:line="270" w:lineRule="exact"/>
              <w:ind w:right="-36"/>
              <w:jc w:val="both"/>
              <w:rPr>
                <w:rFonts w:ascii="Times New Roman" w:eastAsia="Times New Roman" w:hAnsi="Times New Roman" w:cs="Times New Roman"/>
                <w:sz w:val="24"/>
                <w:szCs w:val="24"/>
              </w:rPr>
            </w:pPr>
            <w:r w:rsidRPr="002E37B3">
              <w:rPr>
                <w:rFonts w:ascii="Times New Roman" w:hAnsi="Times New Roman" w:cs="Times New Roman"/>
                <w:sz w:val="24"/>
                <w:szCs w:val="24"/>
              </w:rPr>
              <w:t>YDS</w:t>
            </w:r>
          </w:p>
        </w:tc>
        <w:tc>
          <w:tcPr>
            <w:tcW w:w="1769"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0"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70</w:t>
            </w:r>
          </w:p>
        </w:tc>
        <w:tc>
          <w:tcPr>
            <w:tcW w:w="1340"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0"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75</w:t>
            </w:r>
          </w:p>
        </w:tc>
        <w:tc>
          <w:tcPr>
            <w:tcW w:w="1892"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0"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80/100</w:t>
            </w:r>
          </w:p>
        </w:tc>
      </w:tr>
      <w:tr w:rsidR="00747D26" w:rsidRPr="002E37B3">
        <w:trPr>
          <w:trHeight w:hRule="exact" w:val="526"/>
        </w:trPr>
        <w:tc>
          <w:tcPr>
            <w:tcW w:w="3797"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2E37B3">
            <w:pPr>
              <w:pStyle w:val="TableParagraph"/>
              <w:spacing w:line="270" w:lineRule="exact"/>
              <w:ind w:right="-36"/>
              <w:jc w:val="both"/>
              <w:rPr>
                <w:rFonts w:ascii="Times New Roman" w:eastAsia="Times New Roman" w:hAnsi="Times New Roman" w:cs="Times New Roman"/>
                <w:sz w:val="24"/>
                <w:szCs w:val="24"/>
              </w:rPr>
            </w:pPr>
            <w:r w:rsidRPr="002E37B3">
              <w:rPr>
                <w:rFonts w:ascii="Times New Roman" w:hAnsi="Times New Roman" w:cs="Times New Roman"/>
                <w:sz w:val="24"/>
                <w:szCs w:val="24"/>
              </w:rPr>
              <w:t>CPE</w:t>
            </w:r>
          </w:p>
        </w:tc>
        <w:tc>
          <w:tcPr>
            <w:tcW w:w="1769"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0"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C</w:t>
            </w:r>
          </w:p>
        </w:tc>
        <w:tc>
          <w:tcPr>
            <w:tcW w:w="1340"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0"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C</w:t>
            </w:r>
          </w:p>
        </w:tc>
        <w:tc>
          <w:tcPr>
            <w:tcW w:w="1892"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0"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B/A</w:t>
            </w:r>
          </w:p>
        </w:tc>
      </w:tr>
      <w:tr w:rsidR="00747D26" w:rsidRPr="002E37B3">
        <w:trPr>
          <w:trHeight w:hRule="exact" w:val="526"/>
        </w:trPr>
        <w:tc>
          <w:tcPr>
            <w:tcW w:w="3797" w:type="dxa"/>
            <w:tcBorders>
              <w:top w:val="single" w:sz="4" w:space="0" w:color="000000"/>
              <w:left w:val="single" w:sz="4" w:space="0" w:color="000000"/>
              <w:bottom w:val="single" w:sz="4" w:space="0" w:color="000000"/>
              <w:right w:val="single" w:sz="4" w:space="0" w:color="000000"/>
            </w:tcBorders>
          </w:tcPr>
          <w:p w:rsidR="00747D26" w:rsidRPr="002E37B3" w:rsidRDefault="004432EC" w:rsidP="002E37B3">
            <w:pPr>
              <w:pStyle w:val="TableParagraph"/>
              <w:spacing w:line="273" w:lineRule="exact"/>
              <w:ind w:right="-36"/>
              <w:jc w:val="both"/>
              <w:rPr>
                <w:rFonts w:ascii="Times New Roman" w:eastAsia="Times New Roman" w:hAnsi="Times New Roman" w:cs="Times New Roman"/>
                <w:sz w:val="24"/>
                <w:szCs w:val="24"/>
              </w:rPr>
            </w:pPr>
            <w:r w:rsidRPr="002E37B3">
              <w:rPr>
                <w:rFonts w:ascii="Times New Roman" w:hAnsi="Times New Roman" w:cs="Times New Roman"/>
                <w:sz w:val="24"/>
                <w:szCs w:val="24"/>
              </w:rPr>
              <w:t>CAE</w:t>
            </w:r>
          </w:p>
        </w:tc>
        <w:tc>
          <w:tcPr>
            <w:tcW w:w="1769" w:type="dxa"/>
            <w:tcBorders>
              <w:top w:val="single" w:sz="4" w:space="0" w:color="000000"/>
              <w:left w:val="single" w:sz="4" w:space="0" w:color="000000"/>
              <w:bottom w:val="single" w:sz="4" w:space="0" w:color="000000"/>
              <w:right w:val="single" w:sz="4" w:space="0" w:color="000000"/>
            </w:tcBorders>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C</w:t>
            </w:r>
          </w:p>
        </w:tc>
        <w:tc>
          <w:tcPr>
            <w:tcW w:w="1340" w:type="dxa"/>
            <w:tcBorders>
              <w:top w:val="single" w:sz="4" w:space="0" w:color="000000"/>
              <w:left w:val="single" w:sz="4" w:space="0" w:color="000000"/>
              <w:bottom w:val="single" w:sz="4" w:space="0" w:color="000000"/>
              <w:right w:val="single" w:sz="4" w:space="0" w:color="000000"/>
            </w:tcBorders>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B</w:t>
            </w:r>
          </w:p>
        </w:tc>
        <w:tc>
          <w:tcPr>
            <w:tcW w:w="1892" w:type="dxa"/>
            <w:tcBorders>
              <w:top w:val="single" w:sz="4" w:space="0" w:color="000000"/>
              <w:left w:val="single" w:sz="4" w:space="0" w:color="000000"/>
              <w:bottom w:val="single" w:sz="4" w:space="0" w:color="000000"/>
              <w:right w:val="single" w:sz="4" w:space="0" w:color="000000"/>
            </w:tcBorders>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B/A</w:t>
            </w:r>
          </w:p>
        </w:tc>
      </w:tr>
      <w:tr w:rsidR="00747D26" w:rsidRPr="002E37B3">
        <w:trPr>
          <w:trHeight w:hRule="exact" w:val="528"/>
        </w:trPr>
        <w:tc>
          <w:tcPr>
            <w:tcW w:w="3797"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2E37B3">
            <w:pPr>
              <w:pStyle w:val="TableParagraph"/>
              <w:spacing w:line="273" w:lineRule="exact"/>
              <w:ind w:right="-36"/>
              <w:jc w:val="both"/>
              <w:rPr>
                <w:rFonts w:ascii="Times New Roman" w:eastAsia="Times New Roman" w:hAnsi="Times New Roman" w:cs="Times New Roman"/>
                <w:sz w:val="24"/>
                <w:szCs w:val="24"/>
              </w:rPr>
            </w:pPr>
            <w:r w:rsidRPr="002E37B3">
              <w:rPr>
                <w:rFonts w:ascii="Times New Roman" w:hAnsi="Times New Roman" w:cs="Times New Roman"/>
                <w:sz w:val="24"/>
                <w:szCs w:val="24"/>
              </w:rPr>
              <w:t>PTE Academic</w:t>
            </w:r>
          </w:p>
        </w:tc>
        <w:tc>
          <w:tcPr>
            <w:tcW w:w="1769"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60</w:t>
            </w:r>
          </w:p>
        </w:tc>
        <w:tc>
          <w:tcPr>
            <w:tcW w:w="1340"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65</w:t>
            </w:r>
          </w:p>
        </w:tc>
        <w:tc>
          <w:tcPr>
            <w:tcW w:w="1892" w:type="dxa"/>
            <w:tcBorders>
              <w:top w:val="single" w:sz="4" w:space="0" w:color="000000"/>
              <w:left w:val="single" w:sz="4" w:space="0" w:color="000000"/>
              <w:bottom w:val="single" w:sz="4" w:space="0" w:color="000000"/>
              <w:right w:val="single" w:sz="4" w:space="0" w:color="000000"/>
            </w:tcBorders>
            <w:shd w:val="clear" w:color="auto" w:fill="D4E6F4"/>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70/90</w:t>
            </w:r>
          </w:p>
        </w:tc>
      </w:tr>
      <w:tr w:rsidR="00747D26" w:rsidRPr="002E37B3">
        <w:trPr>
          <w:trHeight w:hRule="exact" w:val="528"/>
        </w:trPr>
        <w:tc>
          <w:tcPr>
            <w:tcW w:w="3797" w:type="dxa"/>
            <w:tcBorders>
              <w:top w:val="single" w:sz="4" w:space="0" w:color="000000"/>
              <w:left w:val="single" w:sz="4" w:space="0" w:color="000000"/>
              <w:bottom w:val="single" w:sz="4" w:space="0" w:color="000000"/>
              <w:right w:val="single" w:sz="4" w:space="0" w:color="000000"/>
            </w:tcBorders>
          </w:tcPr>
          <w:p w:rsidR="00747D26" w:rsidRPr="002E37B3" w:rsidRDefault="004432EC" w:rsidP="002E37B3">
            <w:pPr>
              <w:pStyle w:val="TableParagraph"/>
              <w:spacing w:line="273" w:lineRule="exact"/>
              <w:ind w:right="-36"/>
              <w:jc w:val="both"/>
              <w:rPr>
                <w:rFonts w:ascii="Times New Roman" w:eastAsia="Times New Roman" w:hAnsi="Times New Roman" w:cs="Times New Roman"/>
                <w:sz w:val="24"/>
                <w:szCs w:val="24"/>
              </w:rPr>
            </w:pPr>
            <w:r w:rsidRPr="002E37B3">
              <w:rPr>
                <w:rFonts w:ascii="Times New Roman" w:hAnsi="Times New Roman" w:cs="Times New Roman"/>
                <w:sz w:val="24"/>
                <w:szCs w:val="24"/>
              </w:rPr>
              <w:t>IELTS (Minimum 5.5 for each section)</w:t>
            </w:r>
          </w:p>
        </w:tc>
        <w:tc>
          <w:tcPr>
            <w:tcW w:w="1769" w:type="dxa"/>
            <w:tcBorders>
              <w:top w:val="single" w:sz="4" w:space="0" w:color="000000"/>
              <w:left w:val="single" w:sz="4" w:space="0" w:color="000000"/>
              <w:bottom w:val="single" w:sz="4" w:space="0" w:color="000000"/>
              <w:right w:val="single" w:sz="4" w:space="0" w:color="000000"/>
            </w:tcBorders>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6.0</w:t>
            </w:r>
          </w:p>
        </w:tc>
        <w:tc>
          <w:tcPr>
            <w:tcW w:w="1340" w:type="dxa"/>
            <w:tcBorders>
              <w:top w:val="single" w:sz="4" w:space="0" w:color="000000"/>
              <w:left w:val="single" w:sz="4" w:space="0" w:color="000000"/>
              <w:bottom w:val="single" w:sz="4" w:space="0" w:color="000000"/>
              <w:right w:val="single" w:sz="4" w:space="0" w:color="000000"/>
            </w:tcBorders>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6.5</w:t>
            </w:r>
          </w:p>
        </w:tc>
        <w:tc>
          <w:tcPr>
            <w:tcW w:w="1892" w:type="dxa"/>
            <w:tcBorders>
              <w:top w:val="single" w:sz="4" w:space="0" w:color="000000"/>
              <w:left w:val="single" w:sz="4" w:space="0" w:color="000000"/>
              <w:bottom w:val="single" w:sz="4" w:space="0" w:color="000000"/>
              <w:right w:val="single" w:sz="4" w:space="0" w:color="000000"/>
            </w:tcBorders>
          </w:tcPr>
          <w:p w:rsidR="00747D26" w:rsidRPr="002E37B3" w:rsidRDefault="004432EC" w:rsidP="00EB4B3B">
            <w:pPr>
              <w:pStyle w:val="TableParagraph"/>
              <w:spacing w:line="273" w:lineRule="exact"/>
              <w:ind w:right="-36"/>
              <w:jc w:val="center"/>
              <w:rPr>
                <w:rFonts w:ascii="Times New Roman" w:eastAsia="Times New Roman" w:hAnsi="Times New Roman" w:cs="Times New Roman"/>
                <w:sz w:val="24"/>
                <w:szCs w:val="24"/>
              </w:rPr>
            </w:pPr>
            <w:r w:rsidRPr="002E37B3">
              <w:rPr>
                <w:rFonts w:ascii="Times New Roman" w:hAnsi="Times New Roman" w:cs="Times New Roman"/>
                <w:sz w:val="24"/>
                <w:szCs w:val="24"/>
              </w:rPr>
              <w:t>7/9</w:t>
            </w:r>
          </w:p>
        </w:tc>
      </w:tr>
    </w:tbl>
    <w:p w:rsidR="00747D26" w:rsidRPr="002E37B3" w:rsidRDefault="00747D26" w:rsidP="002E37B3">
      <w:pPr>
        <w:spacing w:before="8"/>
        <w:ind w:right="-36"/>
        <w:jc w:val="both"/>
        <w:rPr>
          <w:rFonts w:ascii="Times New Roman" w:eastAsia="Times New Roman" w:hAnsi="Times New Roman" w:cs="Times New Roman"/>
          <w:sz w:val="24"/>
          <w:szCs w:val="24"/>
        </w:rPr>
      </w:pPr>
    </w:p>
    <w:p w:rsidR="00747D26" w:rsidRPr="002E37B3" w:rsidRDefault="004432EC" w:rsidP="002E37B3">
      <w:pPr>
        <w:pStyle w:val="Balk1"/>
        <w:spacing w:before="69" w:line="276" w:lineRule="auto"/>
        <w:ind w:left="0" w:right="-36"/>
        <w:jc w:val="both"/>
        <w:rPr>
          <w:rFonts w:cs="Times New Roman"/>
          <w:b w:val="0"/>
          <w:bCs w:val="0"/>
        </w:rPr>
      </w:pPr>
      <w:r w:rsidRPr="002E37B3">
        <w:rPr>
          <w:rFonts w:cs="Times New Roman"/>
        </w:rPr>
        <w:t>Finalizing applications and registration ARTICLE 12 -</w:t>
      </w:r>
    </w:p>
    <w:p w:rsidR="00563F3E" w:rsidRPr="00563F3E" w:rsidRDefault="004432EC" w:rsidP="00BD7834">
      <w:pPr>
        <w:pStyle w:val="ListeParagraf"/>
        <w:numPr>
          <w:ilvl w:val="0"/>
          <w:numId w:val="1"/>
        </w:numPr>
        <w:tabs>
          <w:tab w:val="left" w:pos="547"/>
        </w:tabs>
        <w:spacing w:before="55" w:line="276" w:lineRule="auto"/>
        <w:ind w:left="0" w:right="-36" w:firstLine="0"/>
        <w:jc w:val="both"/>
        <w:rPr>
          <w:rFonts w:ascii="Times New Roman" w:eastAsia="Times New Roman" w:hAnsi="Times New Roman" w:cs="Times New Roman"/>
          <w:sz w:val="24"/>
          <w:szCs w:val="24"/>
        </w:rPr>
      </w:pPr>
      <w:r w:rsidRPr="00563F3E">
        <w:rPr>
          <w:rFonts w:ascii="Times New Roman" w:hAnsi="Times New Roman" w:cs="Times New Roman"/>
          <w:sz w:val="24"/>
          <w:szCs w:val="24"/>
        </w:rPr>
        <w:t>Atılım University is exclusively authorized to evaluate applications, as well as to admit, register and place applicants as students. Meeting the application criteria does not guarantee admission.</w:t>
      </w:r>
    </w:p>
    <w:p w:rsidR="00747D26" w:rsidRPr="00563F3E" w:rsidRDefault="004432EC" w:rsidP="00BD7834">
      <w:pPr>
        <w:pStyle w:val="ListeParagraf"/>
        <w:numPr>
          <w:ilvl w:val="0"/>
          <w:numId w:val="1"/>
        </w:numPr>
        <w:tabs>
          <w:tab w:val="left" w:pos="547"/>
        </w:tabs>
        <w:spacing w:before="55" w:line="276" w:lineRule="auto"/>
        <w:ind w:left="0" w:right="-36" w:firstLine="0"/>
        <w:jc w:val="both"/>
        <w:rPr>
          <w:rFonts w:ascii="Times New Roman" w:eastAsia="Times New Roman" w:hAnsi="Times New Roman" w:cs="Times New Roman"/>
          <w:sz w:val="24"/>
          <w:szCs w:val="24"/>
        </w:rPr>
      </w:pPr>
      <w:r w:rsidRPr="00563F3E">
        <w:rPr>
          <w:rFonts w:ascii="Times New Roman" w:hAnsi="Times New Roman" w:cs="Times New Roman"/>
          <w:sz w:val="24"/>
          <w:szCs w:val="24"/>
        </w:rPr>
        <w:t>Applications are evaluated by the relevant Sc</w:t>
      </w:r>
      <w:r w:rsidRPr="00563F3E">
        <w:rPr>
          <w:rFonts w:ascii="Times New Roman" w:hAnsi="Times New Roman" w:cs="Times New Roman"/>
          <w:sz w:val="24"/>
          <w:szCs w:val="24"/>
        </w:rPr>
        <w:t>hool/ Graduate School and the International Center, and the University sends a “Letter of Acceptance” to accepted students.   Students are required to apply with this letter to an Embassy of Türkiye in their country of residence, or the nearest one, to obt</w:t>
      </w:r>
      <w:r w:rsidRPr="00563F3E">
        <w:rPr>
          <w:rFonts w:ascii="Times New Roman" w:hAnsi="Times New Roman" w:cs="Times New Roman"/>
          <w:sz w:val="24"/>
          <w:szCs w:val="24"/>
        </w:rPr>
        <w:t>ain a “Student Visa”.   Students who do not have the visa may not register at the University.</w:t>
      </w:r>
    </w:p>
    <w:p w:rsidR="00747D26" w:rsidRPr="002E37B3" w:rsidRDefault="004432EC" w:rsidP="002E37B3">
      <w:pPr>
        <w:pStyle w:val="ListeParagraf"/>
        <w:numPr>
          <w:ilvl w:val="0"/>
          <w:numId w:val="1"/>
        </w:numPr>
        <w:tabs>
          <w:tab w:val="left" w:pos="489"/>
        </w:tabs>
        <w:spacing w:before="3" w:line="276"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lastRenderedPageBreak/>
        <w:t xml:space="preserve">  Students bring the documents listed in the Article 7 in full pay the tuition fee of the first semester before the registration procedures. Students not meeting </w:t>
      </w:r>
      <w:r w:rsidRPr="002E37B3">
        <w:rPr>
          <w:rFonts w:ascii="Times New Roman" w:hAnsi="Times New Roman" w:cs="Times New Roman"/>
          <w:sz w:val="24"/>
          <w:szCs w:val="24"/>
        </w:rPr>
        <w:t>this condition may not register.</w:t>
      </w:r>
    </w:p>
    <w:p w:rsidR="00747D26" w:rsidRPr="002E37B3" w:rsidRDefault="004432EC" w:rsidP="002E37B3">
      <w:pPr>
        <w:pStyle w:val="ListeParagraf"/>
        <w:numPr>
          <w:ilvl w:val="0"/>
          <w:numId w:val="1"/>
        </w:numPr>
        <w:tabs>
          <w:tab w:val="left" w:pos="465"/>
        </w:tabs>
        <w:spacing w:before="1" w:line="278"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 xml:space="preserve">All kinds of documents mandated by the institutions of the Turkish state are required to be presented by the students at registration. </w:t>
      </w:r>
    </w:p>
    <w:p w:rsidR="00747D26" w:rsidRPr="00EB4B3B" w:rsidRDefault="004432EC" w:rsidP="002E37B3">
      <w:pPr>
        <w:pStyle w:val="ListeParagraf"/>
        <w:numPr>
          <w:ilvl w:val="0"/>
          <w:numId w:val="1"/>
        </w:numPr>
        <w:tabs>
          <w:tab w:val="left" w:pos="523"/>
        </w:tabs>
        <w:spacing w:line="276" w:lineRule="auto"/>
        <w:ind w:left="0" w:right="-36" w:firstLine="0"/>
        <w:jc w:val="both"/>
        <w:rPr>
          <w:rFonts w:ascii="Times New Roman" w:eastAsia="Times New Roman" w:hAnsi="Times New Roman" w:cs="Times New Roman"/>
          <w:sz w:val="24"/>
          <w:szCs w:val="24"/>
        </w:rPr>
      </w:pPr>
      <w:r w:rsidRPr="002E37B3">
        <w:rPr>
          <w:rFonts w:ascii="Times New Roman" w:hAnsi="Times New Roman" w:cs="Times New Roman"/>
          <w:sz w:val="24"/>
          <w:szCs w:val="24"/>
        </w:rPr>
        <w:t>Prospective students may be requested to document that they have adequate amount of financial assurance in their bank account to cover the 4-year tuition fee and other expenses.</w:t>
      </w:r>
    </w:p>
    <w:p w:rsidR="00EB4B3B" w:rsidRDefault="00EB4B3B" w:rsidP="00EB4B3B">
      <w:pPr>
        <w:tabs>
          <w:tab w:val="left" w:pos="523"/>
        </w:tabs>
        <w:spacing w:line="276" w:lineRule="auto"/>
        <w:ind w:right="-36"/>
        <w:jc w:val="both"/>
        <w:rPr>
          <w:rFonts w:ascii="Times New Roman" w:eastAsia="Times New Roman" w:hAnsi="Times New Roman" w:cs="Times New Roman"/>
          <w:sz w:val="24"/>
          <w:szCs w:val="24"/>
        </w:rPr>
      </w:pPr>
    </w:p>
    <w:p w:rsidR="00EB4B3B" w:rsidRPr="00EB4B3B" w:rsidRDefault="00EB4B3B" w:rsidP="00EB4B3B">
      <w:pPr>
        <w:tabs>
          <w:tab w:val="left" w:pos="523"/>
        </w:tabs>
        <w:spacing w:line="276" w:lineRule="auto"/>
        <w:ind w:right="-36"/>
        <w:jc w:val="both"/>
        <w:rPr>
          <w:rFonts w:ascii="Times New Roman" w:eastAsia="Times New Roman" w:hAnsi="Times New Roman" w:cs="Times New Roman"/>
          <w:sz w:val="24"/>
          <w:szCs w:val="24"/>
        </w:rPr>
      </w:pPr>
    </w:p>
    <w:p w:rsidR="00747D26" w:rsidRPr="002E37B3" w:rsidRDefault="004432EC" w:rsidP="00563F3E">
      <w:pPr>
        <w:pStyle w:val="Balk1"/>
        <w:spacing w:before="116"/>
        <w:ind w:left="0" w:right="-36"/>
        <w:jc w:val="center"/>
        <w:rPr>
          <w:rFonts w:cs="Times New Roman"/>
          <w:b w:val="0"/>
          <w:bCs w:val="0"/>
        </w:rPr>
      </w:pPr>
      <w:r w:rsidRPr="002E37B3">
        <w:rPr>
          <w:rFonts w:cs="Times New Roman"/>
        </w:rPr>
        <w:t>SECTION FOUR</w:t>
      </w:r>
    </w:p>
    <w:p w:rsidR="00747D26" w:rsidRPr="002E37B3" w:rsidRDefault="004432EC" w:rsidP="00563F3E">
      <w:pPr>
        <w:ind w:right="-36"/>
        <w:jc w:val="center"/>
        <w:rPr>
          <w:rFonts w:ascii="Times New Roman" w:eastAsia="Times New Roman" w:hAnsi="Times New Roman" w:cs="Times New Roman"/>
          <w:sz w:val="24"/>
          <w:szCs w:val="24"/>
        </w:rPr>
      </w:pPr>
      <w:r w:rsidRPr="002E37B3">
        <w:rPr>
          <w:rFonts w:ascii="Times New Roman" w:hAnsi="Times New Roman" w:cs="Times New Roman"/>
          <w:b/>
          <w:sz w:val="24"/>
          <w:szCs w:val="24"/>
        </w:rPr>
        <w:t>Miscellaneous and Final Provisions</w:t>
      </w:r>
    </w:p>
    <w:p w:rsidR="00747D26" w:rsidRPr="002E37B3" w:rsidRDefault="00747D26" w:rsidP="002E37B3">
      <w:pPr>
        <w:spacing w:before="9"/>
        <w:ind w:right="-36"/>
        <w:jc w:val="both"/>
        <w:rPr>
          <w:rFonts w:ascii="Times New Roman" w:eastAsia="Times New Roman" w:hAnsi="Times New Roman" w:cs="Times New Roman"/>
          <w:b/>
          <w:bCs/>
          <w:sz w:val="24"/>
          <w:szCs w:val="24"/>
        </w:rPr>
      </w:pPr>
    </w:p>
    <w:p w:rsidR="00747D26" w:rsidRPr="002E37B3" w:rsidRDefault="004432EC" w:rsidP="002E37B3">
      <w:pPr>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Validity period of exams</w:t>
      </w:r>
    </w:p>
    <w:p w:rsidR="00747D26" w:rsidRPr="002E37B3" w:rsidRDefault="004432EC" w:rsidP="002E37B3">
      <w:pPr>
        <w:pStyle w:val="GvdeMetni"/>
        <w:ind w:left="0" w:right="-36"/>
        <w:jc w:val="both"/>
        <w:rPr>
          <w:rFonts w:cs="Times New Roman"/>
        </w:rPr>
      </w:pPr>
      <w:r w:rsidRPr="002E37B3">
        <w:rPr>
          <w:rFonts w:cs="Times New Roman"/>
          <w:b/>
          <w:bCs/>
        </w:rPr>
        <w:t>ARTI</w:t>
      </w:r>
      <w:r w:rsidRPr="002E37B3">
        <w:rPr>
          <w:rFonts w:cs="Times New Roman"/>
          <w:b/>
          <w:bCs/>
        </w:rPr>
        <w:t xml:space="preserve">CLE 13-(1) </w:t>
      </w:r>
      <w:r w:rsidRPr="002E37B3">
        <w:rPr>
          <w:rFonts w:cs="Times New Roman"/>
        </w:rPr>
        <w:t>Validity of proficiency exams are subject to the principles set by the Higher Education Council.</w:t>
      </w:r>
    </w:p>
    <w:p w:rsidR="00747D26" w:rsidRPr="002E37B3" w:rsidRDefault="00747D26" w:rsidP="002E37B3">
      <w:pPr>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Cases not included in the Directive</w:t>
      </w:r>
    </w:p>
    <w:p w:rsidR="00747D26" w:rsidRPr="002E37B3" w:rsidRDefault="004432EC" w:rsidP="002E37B3">
      <w:pPr>
        <w:pStyle w:val="GvdeMetni"/>
        <w:ind w:left="0" w:right="-36"/>
        <w:jc w:val="both"/>
        <w:rPr>
          <w:rFonts w:cs="Times New Roman"/>
        </w:rPr>
      </w:pPr>
      <w:r w:rsidRPr="002E37B3">
        <w:rPr>
          <w:rFonts w:cs="Times New Roman"/>
          <w:b/>
          <w:bCs/>
        </w:rPr>
        <w:t>ARTICLE 14-(1)</w:t>
      </w:r>
      <w:r w:rsidRPr="002E37B3">
        <w:rPr>
          <w:rFonts w:cs="Times New Roman"/>
        </w:rPr>
        <w:t xml:space="preserve"> The provisions of the Law and Regulations on International Students Studying in Türkiye, the adm</w:t>
      </w:r>
      <w:r w:rsidRPr="002E37B3">
        <w:rPr>
          <w:rFonts w:cs="Times New Roman"/>
        </w:rPr>
        <w:t>ission principles for international students as stipulated by the Higher Education Council, Atılım University Regulations on Undergraduate and Graduate Education, as well as other relevant legislations and Senate resolutions shall apply in cases not includ</w:t>
      </w:r>
      <w:r w:rsidRPr="002E37B3">
        <w:rPr>
          <w:rFonts w:cs="Times New Roman"/>
        </w:rPr>
        <w:t>ed in this Directive.</w:t>
      </w:r>
    </w:p>
    <w:p w:rsidR="00747D26" w:rsidRPr="002E37B3" w:rsidRDefault="00747D26" w:rsidP="002E37B3">
      <w:pPr>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Misstatements</w:t>
      </w:r>
    </w:p>
    <w:p w:rsidR="00747D26" w:rsidRPr="002E37B3" w:rsidRDefault="004432EC" w:rsidP="002E37B3">
      <w:pPr>
        <w:pStyle w:val="GvdeMetni"/>
        <w:ind w:left="0" w:right="-36"/>
        <w:jc w:val="both"/>
        <w:rPr>
          <w:rFonts w:cs="Times New Roman"/>
        </w:rPr>
      </w:pPr>
      <w:r w:rsidRPr="002E37B3">
        <w:rPr>
          <w:rFonts w:cs="Times New Roman"/>
          <w:b/>
        </w:rPr>
        <w:t>ARTICLE 15-(1)</w:t>
      </w:r>
      <w:r w:rsidRPr="002E37B3">
        <w:rPr>
          <w:rFonts w:cs="Times New Roman"/>
        </w:rPr>
        <w:t xml:space="preserve"> Applications of those who misstate to or mislead the University administration with any action or transaction are to be rejected. Registrations of such students are to be annulled.</w:t>
      </w:r>
    </w:p>
    <w:p w:rsidR="00747D26" w:rsidRPr="002E37B3" w:rsidRDefault="00747D26" w:rsidP="002E37B3">
      <w:pPr>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Repealed directive;</w:t>
      </w:r>
    </w:p>
    <w:p w:rsidR="00747D26" w:rsidRPr="002E37B3" w:rsidRDefault="004432EC" w:rsidP="002E37B3">
      <w:pPr>
        <w:ind w:right="-36"/>
        <w:jc w:val="both"/>
        <w:rPr>
          <w:rFonts w:ascii="Times New Roman" w:eastAsia="Times New Roman" w:hAnsi="Times New Roman" w:cs="Times New Roman"/>
          <w:sz w:val="24"/>
          <w:szCs w:val="24"/>
        </w:rPr>
      </w:pPr>
      <w:r w:rsidRPr="002E37B3">
        <w:rPr>
          <w:rFonts w:ascii="Times New Roman" w:hAnsi="Times New Roman" w:cs="Times New Roman"/>
          <w:b/>
          <w:sz w:val="24"/>
          <w:szCs w:val="24"/>
        </w:rPr>
        <w:t>ARTICLE 16</w:t>
      </w:r>
      <w:r w:rsidR="009B36D5" w:rsidRPr="002E37B3">
        <w:rPr>
          <w:rFonts w:ascii="Times New Roman" w:hAnsi="Times New Roman" w:cs="Times New Roman"/>
          <w:b/>
          <w:bCs/>
          <w:sz w:val="24"/>
          <w:szCs w:val="24"/>
        </w:rPr>
        <w:t>– (</w:t>
      </w:r>
      <w:r w:rsidRPr="002E37B3">
        <w:rPr>
          <w:rFonts w:ascii="Times New Roman" w:hAnsi="Times New Roman" w:cs="Times New Roman"/>
          <w:b/>
          <w:bCs/>
          <w:sz w:val="24"/>
          <w:szCs w:val="24"/>
        </w:rPr>
        <w:t>1)</w:t>
      </w:r>
      <w:r w:rsidRPr="002E37B3">
        <w:rPr>
          <w:rFonts w:ascii="Times New Roman" w:hAnsi="Times New Roman" w:cs="Times New Roman"/>
          <w:b/>
          <w:bCs/>
          <w:sz w:val="24"/>
          <w:szCs w:val="24"/>
        </w:rPr>
        <w:t xml:space="preserve"> </w:t>
      </w:r>
      <w:r w:rsidRPr="002E37B3">
        <w:rPr>
          <w:rFonts w:ascii="Times New Roman" w:hAnsi="Times New Roman" w:cs="Times New Roman"/>
          <w:b/>
          <w:sz w:val="24"/>
          <w:szCs w:val="24"/>
        </w:rPr>
        <w:t>Atılım University Directive on the Principles and Procedures of International Student Admission</w:t>
      </w:r>
      <w:r w:rsidRPr="002E37B3">
        <w:rPr>
          <w:rFonts w:ascii="Times New Roman" w:hAnsi="Times New Roman" w:cs="Times New Roman"/>
          <w:sz w:val="24"/>
          <w:szCs w:val="24"/>
        </w:rPr>
        <w:t xml:space="preserve"> which entered into effect with Senate Resolution dated 09.10.2018 no. 2 has been repealed.</w:t>
      </w:r>
    </w:p>
    <w:p w:rsidR="00747D26" w:rsidRPr="002E37B3" w:rsidRDefault="00747D26" w:rsidP="002E37B3">
      <w:pPr>
        <w:ind w:right="-36"/>
        <w:jc w:val="both"/>
        <w:rPr>
          <w:rFonts w:ascii="Times New Roman" w:eastAsia="Times New Roman" w:hAnsi="Times New Roman" w:cs="Times New Roman"/>
          <w:sz w:val="24"/>
          <w:szCs w:val="24"/>
        </w:rPr>
      </w:pPr>
    </w:p>
    <w:p w:rsidR="00747D26" w:rsidRPr="002E37B3" w:rsidRDefault="004432EC" w:rsidP="002E37B3">
      <w:pPr>
        <w:pStyle w:val="Balk1"/>
        <w:ind w:left="0" w:right="-36"/>
        <w:jc w:val="both"/>
        <w:rPr>
          <w:rFonts w:cs="Times New Roman"/>
          <w:b w:val="0"/>
          <w:bCs w:val="0"/>
        </w:rPr>
      </w:pPr>
      <w:r w:rsidRPr="002E37B3">
        <w:rPr>
          <w:rFonts w:cs="Times New Roman"/>
        </w:rPr>
        <w:t>Effective Date</w:t>
      </w:r>
    </w:p>
    <w:p w:rsidR="00747D26" w:rsidRPr="002E37B3" w:rsidRDefault="004432EC" w:rsidP="002E37B3">
      <w:pPr>
        <w:pStyle w:val="GvdeMetni"/>
        <w:ind w:left="0" w:right="-36"/>
        <w:jc w:val="both"/>
        <w:rPr>
          <w:rFonts w:cs="Times New Roman"/>
        </w:rPr>
      </w:pPr>
      <w:r w:rsidRPr="002E37B3">
        <w:rPr>
          <w:rFonts w:cs="Times New Roman"/>
          <w:b/>
          <w:bCs/>
        </w:rPr>
        <w:t xml:space="preserve">ARTICLE 17 </w:t>
      </w:r>
      <w:r w:rsidR="009B36D5" w:rsidRPr="002E37B3">
        <w:rPr>
          <w:rFonts w:cs="Times New Roman"/>
          <w:b/>
          <w:bCs/>
        </w:rPr>
        <w:t>– (1)</w:t>
      </w:r>
      <w:r w:rsidR="009B36D5" w:rsidRPr="002E37B3">
        <w:rPr>
          <w:rFonts w:cs="Times New Roman"/>
        </w:rPr>
        <w:t xml:space="preserve"> This</w:t>
      </w:r>
      <w:r w:rsidRPr="002E37B3">
        <w:rPr>
          <w:rFonts w:cs="Times New Roman"/>
        </w:rPr>
        <w:t xml:space="preserve"> Directive shall take effect after it is approved by the Senate.</w:t>
      </w:r>
    </w:p>
    <w:p w:rsidR="00747D26" w:rsidRPr="002E37B3" w:rsidRDefault="004432EC" w:rsidP="002E37B3">
      <w:pPr>
        <w:pStyle w:val="Balk1"/>
        <w:spacing w:before="120"/>
        <w:ind w:left="0" w:right="-36"/>
        <w:jc w:val="both"/>
        <w:rPr>
          <w:rFonts w:cs="Times New Roman"/>
          <w:b w:val="0"/>
          <w:bCs w:val="0"/>
        </w:rPr>
      </w:pPr>
      <w:r w:rsidRPr="002E37B3">
        <w:rPr>
          <w:rFonts w:cs="Times New Roman"/>
        </w:rPr>
        <w:t>Execution</w:t>
      </w:r>
    </w:p>
    <w:p w:rsidR="00747D26" w:rsidRPr="002E37B3" w:rsidRDefault="004432EC" w:rsidP="002E37B3">
      <w:pPr>
        <w:pStyle w:val="GvdeMetni"/>
        <w:ind w:left="0" w:right="-36"/>
        <w:jc w:val="both"/>
        <w:rPr>
          <w:rFonts w:cs="Times New Roman"/>
        </w:rPr>
      </w:pPr>
      <w:r w:rsidRPr="002E37B3">
        <w:rPr>
          <w:rFonts w:cs="Times New Roman"/>
          <w:b/>
        </w:rPr>
        <w:t>ARTICLE 18-</w:t>
      </w:r>
      <w:r w:rsidRPr="002E37B3">
        <w:rPr>
          <w:rFonts w:cs="Times New Roman"/>
        </w:rPr>
        <w:t xml:space="preserve"> (1) This Directive is executed by the President of Atılım University.</w:t>
      </w:r>
    </w:p>
    <w:sectPr w:rsidR="00747D26" w:rsidRPr="002E37B3" w:rsidSect="002E37B3">
      <w:pgSz w:w="11920" w:h="1685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56B"/>
    <w:multiLevelType w:val="hybridMultilevel"/>
    <w:tmpl w:val="CB1C9BF0"/>
    <w:lvl w:ilvl="0" w:tplc="C2E0B38A">
      <w:start w:val="2"/>
      <w:numFmt w:val="decimal"/>
      <w:lvlText w:val="(%1)"/>
      <w:lvlJc w:val="left"/>
      <w:pPr>
        <w:ind w:left="116" w:hanging="387"/>
        <w:jc w:val="left"/>
      </w:pPr>
      <w:rPr>
        <w:rFonts w:ascii="Times New Roman" w:eastAsia="Times New Roman" w:hAnsi="Times New Roman" w:hint="default"/>
        <w:b/>
        <w:bCs/>
        <w:w w:val="97"/>
        <w:sz w:val="24"/>
        <w:szCs w:val="24"/>
      </w:rPr>
    </w:lvl>
    <w:lvl w:ilvl="1" w:tplc="3C1C6EB8">
      <w:start w:val="1"/>
      <w:numFmt w:val="bullet"/>
      <w:lvlText w:val="•"/>
      <w:lvlJc w:val="left"/>
      <w:pPr>
        <w:ind w:left="1039" w:hanging="387"/>
      </w:pPr>
      <w:rPr>
        <w:rFonts w:hint="default"/>
      </w:rPr>
    </w:lvl>
    <w:lvl w:ilvl="2" w:tplc="057EF0EA">
      <w:start w:val="1"/>
      <w:numFmt w:val="bullet"/>
      <w:lvlText w:val="•"/>
      <w:lvlJc w:val="left"/>
      <w:pPr>
        <w:ind w:left="1958" w:hanging="387"/>
      </w:pPr>
      <w:rPr>
        <w:rFonts w:hint="default"/>
      </w:rPr>
    </w:lvl>
    <w:lvl w:ilvl="3" w:tplc="EF7C2C82">
      <w:start w:val="1"/>
      <w:numFmt w:val="bullet"/>
      <w:lvlText w:val="•"/>
      <w:lvlJc w:val="left"/>
      <w:pPr>
        <w:ind w:left="2877" w:hanging="387"/>
      </w:pPr>
      <w:rPr>
        <w:rFonts w:hint="default"/>
      </w:rPr>
    </w:lvl>
    <w:lvl w:ilvl="4" w:tplc="F9409452">
      <w:start w:val="1"/>
      <w:numFmt w:val="bullet"/>
      <w:lvlText w:val="•"/>
      <w:lvlJc w:val="left"/>
      <w:pPr>
        <w:ind w:left="3796" w:hanging="387"/>
      </w:pPr>
      <w:rPr>
        <w:rFonts w:hint="default"/>
      </w:rPr>
    </w:lvl>
    <w:lvl w:ilvl="5" w:tplc="A7563FB0">
      <w:start w:val="1"/>
      <w:numFmt w:val="bullet"/>
      <w:lvlText w:val="•"/>
      <w:lvlJc w:val="left"/>
      <w:pPr>
        <w:ind w:left="4715" w:hanging="387"/>
      </w:pPr>
      <w:rPr>
        <w:rFonts w:hint="default"/>
      </w:rPr>
    </w:lvl>
    <w:lvl w:ilvl="6" w:tplc="D0C6F848">
      <w:start w:val="1"/>
      <w:numFmt w:val="bullet"/>
      <w:lvlText w:val="•"/>
      <w:lvlJc w:val="left"/>
      <w:pPr>
        <w:ind w:left="5634" w:hanging="387"/>
      </w:pPr>
      <w:rPr>
        <w:rFonts w:hint="default"/>
      </w:rPr>
    </w:lvl>
    <w:lvl w:ilvl="7" w:tplc="AB320758">
      <w:start w:val="1"/>
      <w:numFmt w:val="bullet"/>
      <w:lvlText w:val="•"/>
      <w:lvlJc w:val="left"/>
      <w:pPr>
        <w:ind w:left="6553" w:hanging="387"/>
      </w:pPr>
      <w:rPr>
        <w:rFonts w:hint="default"/>
      </w:rPr>
    </w:lvl>
    <w:lvl w:ilvl="8" w:tplc="37C62CA0">
      <w:start w:val="1"/>
      <w:numFmt w:val="bullet"/>
      <w:lvlText w:val="•"/>
      <w:lvlJc w:val="left"/>
      <w:pPr>
        <w:ind w:left="7472" w:hanging="387"/>
      </w:pPr>
      <w:rPr>
        <w:rFonts w:hint="default"/>
      </w:rPr>
    </w:lvl>
  </w:abstractNum>
  <w:abstractNum w:abstractNumId="1" w15:restartNumberingAfterBreak="0">
    <w:nsid w:val="309174FF"/>
    <w:multiLevelType w:val="hybridMultilevel"/>
    <w:tmpl w:val="3204336E"/>
    <w:lvl w:ilvl="0" w:tplc="5E68463A">
      <w:start w:val="1"/>
      <w:numFmt w:val="lowerLetter"/>
      <w:lvlText w:val="%1)"/>
      <w:lvlJc w:val="left"/>
      <w:pPr>
        <w:ind w:left="116" w:hanging="360"/>
        <w:jc w:val="left"/>
      </w:pPr>
      <w:rPr>
        <w:rFonts w:ascii="Times New Roman" w:eastAsia="Times New Roman" w:hAnsi="Times New Roman" w:hint="default"/>
        <w:b/>
        <w:bCs/>
        <w:w w:val="97"/>
        <w:sz w:val="24"/>
        <w:szCs w:val="24"/>
      </w:rPr>
    </w:lvl>
    <w:lvl w:ilvl="1" w:tplc="81E23ECE">
      <w:start w:val="1"/>
      <w:numFmt w:val="bullet"/>
      <w:lvlText w:val="•"/>
      <w:lvlJc w:val="left"/>
      <w:pPr>
        <w:ind w:left="1051" w:hanging="360"/>
      </w:pPr>
      <w:rPr>
        <w:rFonts w:hint="default"/>
      </w:rPr>
    </w:lvl>
    <w:lvl w:ilvl="2" w:tplc="DDBE8218">
      <w:start w:val="1"/>
      <w:numFmt w:val="bullet"/>
      <w:lvlText w:val="•"/>
      <w:lvlJc w:val="left"/>
      <w:pPr>
        <w:ind w:left="1982" w:hanging="360"/>
      </w:pPr>
      <w:rPr>
        <w:rFonts w:hint="default"/>
      </w:rPr>
    </w:lvl>
    <w:lvl w:ilvl="3" w:tplc="60E6F1B8">
      <w:start w:val="1"/>
      <w:numFmt w:val="bullet"/>
      <w:lvlText w:val="•"/>
      <w:lvlJc w:val="left"/>
      <w:pPr>
        <w:ind w:left="2913" w:hanging="360"/>
      </w:pPr>
      <w:rPr>
        <w:rFonts w:hint="default"/>
      </w:rPr>
    </w:lvl>
    <w:lvl w:ilvl="4" w:tplc="DB7A5538">
      <w:start w:val="1"/>
      <w:numFmt w:val="bullet"/>
      <w:lvlText w:val="•"/>
      <w:lvlJc w:val="left"/>
      <w:pPr>
        <w:ind w:left="3844" w:hanging="360"/>
      </w:pPr>
      <w:rPr>
        <w:rFonts w:hint="default"/>
      </w:rPr>
    </w:lvl>
    <w:lvl w:ilvl="5" w:tplc="DE1A0E04">
      <w:start w:val="1"/>
      <w:numFmt w:val="bullet"/>
      <w:lvlText w:val="•"/>
      <w:lvlJc w:val="left"/>
      <w:pPr>
        <w:ind w:left="4775" w:hanging="360"/>
      </w:pPr>
      <w:rPr>
        <w:rFonts w:hint="default"/>
      </w:rPr>
    </w:lvl>
    <w:lvl w:ilvl="6" w:tplc="3418D3C4">
      <w:start w:val="1"/>
      <w:numFmt w:val="bullet"/>
      <w:lvlText w:val="•"/>
      <w:lvlJc w:val="left"/>
      <w:pPr>
        <w:ind w:left="5706" w:hanging="360"/>
      </w:pPr>
      <w:rPr>
        <w:rFonts w:hint="default"/>
      </w:rPr>
    </w:lvl>
    <w:lvl w:ilvl="7" w:tplc="847A9FD6">
      <w:start w:val="1"/>
      <w:numFmt w:val="bullet"/>
      <w:lvlText w:val="•"/>
      <w:lvlJc w:val="left"/>
      <w:pPr>
        <w:ind w:left="6637" w:hanging="360"/>
      </w:pPr>
      <w:rPr>
        <w:rFonts w:hint="default"/>
      </w:rPr>
    </w:lvl>
    <w:lvl w:ilvl="8" w:tplc="5EF656FC">
      <w:start w:val="1"/>
      <w:numFmt w:val="bullet"/>
      <w:lvlText w:val="•"/>
      <w:lvlJc w:val="left"/>
      <w:pPr>
        <w:ind w:left="7568" w:hanging="360"/>
      </w:pPr>
      <w:rPr>
        <w:rFonts w:hint="default"/>
      </w:rPr>
    </w:lvl>
  </w:abstractNum>
  <w:abstractNum w:abstractNumId="2" w15:restartNumberingAfterBreak="0">
    <w:nsid w:val="4836118A"/>
    <w:multiLevelType w:val="hybridMultilevel"/>
    <w:tmpl w:val="0BC6F24C"/>
    <w:lvl w:ilvl="0" w:tplc="E18C4846">
      <w:start w:val="1"/>
      <w:numFmt w:val="lowerLetter"/>
      <w:lvlText w:val="%1)"/>
      <w:lvlJc w:val="left"/>
      <w:pPr>
        <w:ind w:left="476" w:hanging="360"/>
        <w:jc w:val="left"/>
      </w:pPr>
      <w:rPr>
        <w:rFonts w:ascii="Times New Roman" w:eastAsia="Times New Roman" w:hAnsi="Times New Roman" w:hint="default"/>
        <w:b/>
        <w:bCs/>
        <w:w w:val="97"/>
        <w:sz w:val="24"/>
        <w:szCs w:val="24"/>
      </w:rPr>
    </w:lvl>
    <w:lvl w:ilvl="1" w:tplc="20B63350">
      <w:start w:val="1"/>
      <w:numFmt w:val="bullet"/>
      <w:lvlText w:val="-"/>
      <w:lvlJc w:val="left"/>
      <w:pPr>
        <w:ind w:left="495" w:hanging="207"/>
      </w:pPr>
      <w:rPr>
        <w:rFonts w:ascii="Times New Roman" w:eastAsia="Times New Roman" w:hAnsi="Times New Roman" w:hint="default"/>
        <w:w w:val="100"/>
        <w:sz w:val="22"/>
        <w:szCs w:val="22"/>
      </w:rPr>
    </w:lvl>
    <w:lvl w:ilvl="2" w:tplc="EC64535E">
      <w:start w:val="1"/>
      <w:numFmt w:val="bullet"/>
      <w:lvlText w:val="•"/>
      <w:lvlJc w:val="left"/>
      <w:pPr>
        <w:ind w:left="1479" w:hanging="207"/>
      </w:pPr>
      <w:rPr>
        <w:rFonts w:hint="default"/>
      </w:rPr>
    </w:lvl>
    <w:lvl w:ilvl="3" w:tplc="B9B254B2">
      <w:start w:val="1"/>
      <w:numFmt w:val="bullet"/>
      <w:lvlText w:val="•"/>
      <w:lvlJc w:val="left"/>
      <w:pPr>
        <w:ind w:left="2458" w:hanging="207"/>
      </w:pPr>
      <w:rPr>
        <w:rFonts w:hint="default"/>
      </w:rPr>
    </w:lvl>
    <w:lvl w:ilvl="4" w:tplc="88B4DF5C">
      <w:start w:val="1"/>
      <w:numFmt w:val="bullet"/>
      <w:lvlText w:val="•"/>
      <w:lvlJc w:val="left"/>
      <w:pPr>
        <w:ind w:left="3437" w:hanging="207"/>
      </w:pPr>
      <w:rPr>
        <w:rFonts w:hint="default"/>
      </w:rPr>
    </w:lvl>
    <w:lvl w:ilvl="5" w:tplc="7750DBD6">
      <w:start w:val="1"/>
      <w:numFmt w:val="bullet"/>
      <w:lvlText w:val="•"/>
      <w:lvlJc w:val="left"/>
      <w:pPr>
        <w:ind w:left="4416" w:hanging="207"/>
      </w:pPr>
      <w:rPr>
        <w:rFonts w:hint="default"/>
      </w:rPr>
    </w:lvl>
    <w:lvl w:ilvl="6" w:tplc="3620C206">
      <w:start w:val="1"/>
      <w:numFmt w:val="bullet"/>
      <w:lvlText w:val="•"/>
      <w:lvlJc w:val="left"/>
      <w:pPr>
        <w:ind w:left="5395" w:hanging="207"/>
      </w:pPr>
      <w:rPr>
        <w:rFonts w:hint="default"/>
      </w:rPr>
    </w:lvl>
    <w:lvl w:ilvl="7" w:tplc="1AD82DCC">
      <w:start w:val="1"/>
      <w:numFmt w:val="bullet"/>
      <w:lvlText w:val="•"/>
      <w:lvlJc w:val="left"/>
      <w:pPr>
        <w:ind w:left="6374" w:hanging="207"/>
      </w:pPr>
      <w:rPr>
        <w:rFonts w:hint="default"/>
      </w:rPr>
    </w:lvl>
    <w:lvl w:ilvl="8" w:tplc="545E1C2A">
      <w:start w:val="1"/>
      <w:numFmt w:val="bullet"/>
      <w:lvlText w:val="•"/>
      <w:lvlJc w:val="left"/>
      <w:pPr>
        <w:ind w:left="7353" w:hanging="207"/>
      </w:pPr>
      <w:rPr>
        <w:rFonts w:hint="default"/>
      </w:rPr>
    </w:lvl>
  </w:abstractNum>
  <w:abstractNum w:abstractNumId="3" w15:restartNumberingAfterBreak="0">
    <w:nsid w:val="62552D3D"/>
    <w:multiLevelType w:val="hybridMultilevel"/>
    <w:tmpl w:val="5554D3A4"/>
    <w:lvl w:ilvl="0" w:tplc="D2EAEFC0">
      <w:start w:val="1"/>
      <w:numFmt w:val="decimal"/>
      <w:lvlText w:val="(%1)"/>
      <w:lvlJc w:val="left"/>
      <w:pPr>
        <w:ind w:left="116" w:hanging="430"/>
        <w:jc w:val="left"/>
      </w:pPr>
      <w:rPr>
        <w:rFonts w:ascii="Times New Roman" w:eastAsia="Times New Roman" w:hAnsi="Times New Roman" w:hint="default"/>
        <w:b/>
        <w:bCs/>
        <w:w w:val="100"/>
        <w:sz w:val="22"/>
        <w:szCs w:val="22"/>
      </w:rPr>
    </w:lvl>
    <w:lvl w:ilvl="1" w:tplc="50C88A24">
      <w:start w:val="1"/>
      <w:numFmt w:val="bullet"/>
      <w:lvlText w:val="•"/>
      <w:lvlJc w:val="left"/>
      <w:pPr>
        <w:ind w:left="1039" w:hanging="430"/>
      </w:pPr>
      <w:rPr>
        <w:rFonts w:hint="default"/>
      </w:rPr>
    </w:lvl>
    <w:lvl w:ilvl="2" w:tplc="315E35A8">
      <w:start w:val="1"/>
      <w:numFmt w:val="bullet"/>
      <w:lvlText w:val="•"/>
      <w:lvlJc w:val="left"/>
      <w:pPr>
        <w:ind w:left="1958" w:hanging="430"/>
      </w:pPr>
      <w:rPr>
        <w:rFonts w:hint="default"/>
      </w:rPr>
    </w:lvl>
    <w:lvl w:ilvl="3" w:tplc="F83EF8A6">
      <w:start w:val="1"/>
      <w:numFmt w:val="bullet"/>
      <w:lvlText w:val="•"/>
      <w:lvlJc w:val="left"/>
      <w:pPr>
        <w:ind w:left="2877" w:hanging="430"/>
      </w:pPr>
      <w:rPr>
        <w:rFonts w:hint="default"/>
      </w:rPr>
    </w:lvl>
    <w:lvl w:ilvl="4" w:tplc="8F3A3846">
      <w:start w:val="1"/>
      <w:numFmt w:val="bullet"/>
      <w:lvlText w:val="•"/>
      <w:lvlJc w:val="left"/>
      <w:pPr>
        <w:ind w:left="3796" w:hanging="430"/>
      </w:pPr>
      <w:rPr>
        <w:rFonts w:hint="default"/>
      </w:rPr>
    </w:lvl>
    <w:lvl w:ilvl="5" w:tplc="4404BB72">
      <w:start w:val="1"/>
      <w:numFmt w:val="bullet"/>
      <w:lvlText w:val="•"/>
      <w:lvlJc w:val="left"/>
      <w:pPr>
        <w:ind w:left="4715" w:hanging="430"/>
      </w:pPr>
      <w:rPr>
        <w:rFonts w:hint="default"/>
      </w:rPr>
    </w:lvl>
    <w:lvl w:ilvl="6" w:tplc="89DE7DAE">
      <w:start w:val="1"/>
      <w:numFmt w:val="bullet"/>
      <w:lvlText w:val="•"/>
      <w:lvlJc w:val="left"/>
      <w:pPr>
        <w:ind w:left="5634" w:hanging="430"/>
      </w:pPr>
      <w:rPr>
        <w:rFonts w:hint="default"/>
      </w:rPr>
    </w:lvl>
    <w:lvl w:ilvl="7" w:tplc="E4F634D8">
      <w:start w:val="1"/>
      <w:numFmt w:val="bullet"/>
      <w:lvlText w:val="•"/>
      <w:lvlJc w:val="left"/>
      <w:pPr>
        <w:ind w:left="6553" w:hanging="430"/>
      </w:pPr>
      <w:rPr>
        <w:rFonts w:hint="default"/>
      </w:rPr>
    </w:lvl>
    <w:lvl w:ilvl="8" w:tplc="94ECA212">
      <w:start w:val="1"/>
      <w:numFmt w:val="bullet"/>
      <w:lvlText w:val="•"/>
      <w:lvlJc w:val="left"/>
      <w:pPr>
        <w:ind w:left="7472" w:hanging="430"/>
      </w:pPr>
      <w:rPr>
        <w:rFonts w:hint="default"/>
      </w:rPr>
    </w:lvl>
  </w:abstractNum>
  <w:abstractNum w:abstractNumId="4" w15:restartNumberingAfterBreak="0">
    <w:nsid w:val="686E7E60"/>
    <w:multiLevelType w:val="hybridMultilevel"/>
    <w:tmpl w:val="F38E31E6"/>
    <w:lvl w:ilvl="0" w:tplc="9DEAA6E8">
      <w:start w:val="1"/>
      <w:numFmt w:val="lowerLetter"/>
      <w:lvlText w:val="%1)"/>
      <w:lvlJc w:val="left"/>
      <w:pPr>
        <w:ind w:left="476" w:hanging="360"/>
        <w:jc w:val="left"/>
      </w:pPr>
      <w:rPr>
        <w:rFonts w:ascii="Times New Roman" w:eastAsia="Times New Roman" w:hAnsi="Times New Roman" w:hint="default"/>
        <w:b/>
        <w:bCs/>
        <w:w w:val="97"/>
        <w:sz w:val="24"/>
        <w:szCs w:val="24"/>
      </w:rPr>
    </w:lvl>
    <w:lvl w:ilvl="1" w:tplc="816A273C">
      <w:start w:val="1"/>
      <w:numFmt w:val="bullet"/>
      <w:lvlText w:val="•"/>
      <w:lvlJc w:val="left"/>
      <w:pPr>
        <w:ind w:left="1363" w:hanging="360"/>
      </w:pPr>
      <w:rPr>
        <w:rFonts w:hint="default"/>
      </w:rPr>
    </w:lvl>
    <w:lvl w:ilvl="2" w:tplc="AA202568">
      <w:start w:val="1"/>
      <w:numFmt w:val="bullet"/>
      <w:lvlText w:val="•"/>
      <w:lvlJc w:val="left"/>
      <w:pPr>
        <w:ind w:left="2246" w:hanging="360"/>
      </w:pPr>
      <w:rPr>
        <w:rFonts w:hint="default"/>
      </w:rPr>
    </w:lvl>
    <w:lvl w:ilvl="3" w:tplc="7AC2D24E">
      <w:start w:val="1"/>
      <w:numFmt w:val="bullet"/>
      <w:lvlText w:val="•"/>
      <w:lvlJc w:val="left"/>
      <w:pPr>
        <w:ind w:left="3129" w:hanging="360"/>
      </w:pPr>
      <w:rPr>
        <w:rFonts w:hint="default"/>
      </w:rPr>
    </w:lvl>
    <w:lvl w:ilvl="4" w:tplc="8E82AEAA">
      <w:start w:val="1"/>
      <w:numFmt w:val="bullet"/>
      <w:lvlText w:val="•"/>
      <w:lvlJc w:val="left"/>
      <w:pPr>
        <w:ind w:left="4012" w:hanging="360"/>
      </w:pPr>
      <w:rPr>
        <w:rFonts w:hint="default"/>
      </w:rPr>
    </w:lvl>
    <w:lvl w:ilvl="5" w:tplc="389AF938">
      <w:start w:val="1"/>
      <w:numFmt w:val="bullet"/>
      <w:lvlText w:val="•"/>
      <w:lvlJc w:val="left"/>
      <w:pPr>
        <w:ind w:left="4895" w:hanging="360"/>
      </w:pPr>
      <w:rPr>
        <w:rFonts w:hint="default"/>
      </w:rPr>
    </w:lvl>
    <w:lvl w:ilvl="6" w:tplc="A014CE74">
      <w:start w:val="1"/>
      <w:numFmt w:val="bullet"/>
      <w:lvlText w:val="•"/>
      <w:lvlJc w:val="left"/>
      <w:pPr>
        <w:ind w:left="5778" w:hanging="360"/>
      </w:pPr>
      <w:rPr>
        <w:rFonts w:hint="default"/>
      </w:rPr>
    </w:lvl>
    <w:lvl w:ilvl="7" w:tplc="E438CEE8">
      <w:start w:val="1"/>
      <w:numFmt w:val="bullet"/>
      <w:lvlText w:val="•"/>
      <w:lvlJc w:val="left"/>
      <w:pPr>
        <w:ind w:left="6661" w:hanging="360"/>
      </w:pPr>
      <w:rPr>
        <w:rFonts w:hint="default"/>
      </w:rPr>
    </w:lvl>
    <w:lvl w:ilvl="8" w:tplc="3514AEA8">
      <w:start w:val="1"/>
      <w:numFmt w:val="bullet"/>
      <w:lvlText w:val="•"/>
      <w:lvlJc w:val="left"/>
      <w:pPr>
        <w:ind w:left="7544" w:hanging="360"/>
      </w:pPr>
      <w:rPr>
        <w:rFonts w:hint="default"/>
      </w:rPr>
    </w:lvl>
  </w:abstractNum>
  <w:abstractNum w:abstractNumId="5" w15:restartNumberingAfterBreak="0">
    <w:nsid w:val="691048BF"/>
    <w:multiLevelType w:val="hybridMultilevel"/>
    <w:tmpl w:val="30DAAB1A"/>
    <w:lvl w:ilvl="0" w:tplc="7CA070CA">
      <w:start w:val="1"/>
      <w:numFmt w:val="lowerLetter"/>
      <w:lvlText w:val="%1)"/>
      <w:lvlJc w:val="left"/>
      <w:pPr>
        <w:ind w:left="495" w:hanging="360"/>
        <w:jc w:val="left"/>
      </w:pPr>
      <w:rPr>
        <w:rFonts w:ascii="Times New Roman" w:eastAsia="Times New Roman" w:hAnsi="Times New Roman" w:hint="default"/>
        <w:b/>
        <w:bCs/>
        <w:w w:val="97"/>
      </w:rPr>
    </w:lvl>
    <w:lvl w:ilvl="1" w:tplc="7548D432">
      <w:start w:val="1"/>
      <w:numFmt w:val="bullet"/>
      <w:lvlText w:val="•"/>
      <w:lvlJc w:val="left"/>
      <w:pPr>
        <w:ind w:left="1381" w:hanging="360"/>
      </w:pPr>
      <w:rPr>
        <w:rFonts w:hint="default"/>
      </w:rPr>
    </w:lvl>
    <w:lvl w:ilvl="2" w:tplc="3E28F8BC">
      <w:start w:val="1"/>
      <w:numFmt w:val="bullet"/>
      <w:lvlText w:val="•"/>
      <w:lvlJc w:val="left"/>
      <w:pPr>
        <w:ind w:left="2262" w:hanging="360"/>
      </w:pPr>
      <w:rPr>
        <w:rFonts w:hint="default"/>
      </w:rPr>
    </w:lvl>
    <w:lvl w:ilvl="3" w:tplc="F5C2984A">
      <w:start w:val="1"/>
      <w:numFmt w:val="bullet"/>
      <w:lvlText w:val="•"/>
      <w:lvlJc w:val="left"/>
      <w:pPr>
        <w:ind w:left="3143" w:hanging="360"/>
      </w:pPr>
      <w:rPr>
        <w:rFonts w:hint="default"/>
      </w:rPr>
    </w:lvl>
    <w:lvl w:ilvl="4" w:tplc="B50ABA30">
      <w:start w:val="1"/>
      <w:numFmt w:val="bullet"/>
      <w:lvlText w:val="•"/>
      <w:lvlJc w:val="left"/>
      <w:pPr>
        <w:ind w:left="4024" w:hanging="360"/>
      </w:pPr>
      <w:rPr>
        <w:rFonts w:hint="default"/>
      </w:rPr>
    </w:lvl>
    <w:lvl w:ilvl="5" w:tplc="32F0A066">
      <w:start w:val="1"/>
      <w:numFmt w:val="bullet"/>
      <w:lvlText w:val="•"/>
      <w:lvlJc w:val="left"/>
      <w:pPr>
        <w:ind w:left="4905" w:hanging="360"/>
      </w:pPr>
      <w:rPr>
        <w:rFonts w:hint="default"/>
      </w:rPr>
    </w:lvl>
    <w:lvl w:ilvl="6" w:tplc="F20C6038">
      <w:start w:val="1"/>
      <w:numFmt w:val="bullet"/>
      <w:lvlText w:val="•"/>
      <w:lvlJc w:val="left"/>
      <w:pPr>
        <w:ind w:left="5786" w:hanging="360"/>
      </w:pPr>
      <w:rPr>
        <w:rFonts w:hint="default"/>
      </w:rPr>
    </w:lvl>
    <w:lvl w:ilvl="7" w:tplc="C3343A12">
      <w:start w:val="1"/>
      <w:numFmt w:val="bullet"/>
      <w:lvlText w:val="•"/>
      <w:lvlJc w:val="left"/>
      <w:pPr>
        <w:ind w:left="6667" w:hanging="360"/>
      </w:pPr>
      <w:rPr>
        <w:rFonts w:hint="default"/>
      </w:rPr>
    </w:lvl>
    <w:lvl w:ilvl="8" w:tplc="31469C6C">
      <w:start w:val="1"/>
      <w:numFmt w:val="bullet"/>
      <w:lvlText w:val="•"/>
      <w:lvlJc w:val="left"/>
      <w:pPr>
        <w:ind w:left="7548" w:hanging="360"/>
      </w:pPr>
      <w:rPr>
        <w:rFont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47D26"/>
    <w:rsid w:val="002E37B3"/>
    <w:rsid w:val="004432EC"/>
    <w:rsid w:val="00563F3E"/>
    <w:rsid w:val="00747D26"/>
    <w:rsid w:val="009B36D5"/>
    <w:rsid w:val="009E4EB0"/>
    <w:rsid w:val="00AE67EB"/>
    <w:rsid w:val="00CE44F3"/>
    <w:rsid w:val="00EB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C966"/>
  <w15:docId w15:val="{ABB810DC-20D9-4BC1-B02A-5BE949C1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1686</Words>
  <Characters>9611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2023-11-10T15:35:00Z</dcterms:created>
  <dcterms:modified xsi:type="dcterms:W3CDTF">2023-11-10T13:33:00Z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2023-11-10T00:00:00Z</vt:filetime>
  </property>
</Properties>
</file>