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4B" w:rsidRDefault="006D714B" w:rsidP="006D714B">
      <w:pPr>
        <w:pStyle w:val="GvdeMetni"/>
        <w:tabs>
          <w:tab w:val="left" w:pos="284"/>
        </w:tabs>
        <w:spacing w:before="50"/>
        <w:ind w:left="0" w:right="-46" w:firstLine="0"/>
        <w:jc w:val="both"/>
        <w:rPr>
          <w:rFonts w:cs="Times New Roman"/>
        </w:rPr>
      </w:pPr>
      <w:r w:rsidRPr="006D714B">
        <w:rPr>
          <w:rFonts w:cs="Times New Roman"/>
        </w:rPr>
        <w:t xml:space="preserve">(Senate Resolution dated 10.01.2023 no. 01) </w:t>
      </w:r>
    </w:p>
    <w:p w:rsidR="006D714B" w:rsidRDefault="006D714B" w:rsidP="006D714B">
      <w:pPr>
        <w:pStyle w:val="GvdeMetni"/>
        <w:tabs>
          <w:tab w:val="left" w:pos="284"/>
        </w:tabs>
        <w:spacing w:before="50"/>
        <w:ind w:left="0" w:right="-46" w:firstLine="0"/>
        <w:jc w:val="both"/>
        <w:rPr>
          <w:rFonts w:cs="Times New Roman"/>
        </w:rPr>
      </w:pPr>
      <w:r w:rsidRPr="006D714B">
        <w:rPr>
          <w:rFonts w:cs="Times New Roman"/>
        </w:rPr>
        <w:t xml:space="preserve">(Senate Resolution dated 07.12.2021 no. 16) </w:t>
      </w:r>
    </w:p>
    <w:p w:rsidR="006D714B" w:rsidRDefault="006D714B" w:rsidP="006D714B">
      <w:pPr>
        <w:pStyle w:val="GvdeMetni"/>
        <w:tabs>
          <w:tab w:val="left" w:pos="284"/>
        </w:tabs>
        <w:spacing w:before="50"/>
        <w:ind w:left="0" w:right="-46" w:firstLine="0"/>
        <w:jc w:val="both"/>
        <w:rPr>
          <w:rFonts w:cs="Times New Roman"/>
        </w:rPr>
      </w:pPr>
      <w:r w:rsidRPr="006D714B">
        <w:rPr>
          <w:rFonts w:cs="Times New Roman"/>
        </w:rPr>
        <w:t xml:space="preserve">(Senate Resolution dated 18.12.2019 no. 10) </w:t>
      </w:r>
    </w:p>
    <w:p w:rsidR="006D714B" w:rsidRDefault="006D714B" w:rsidP="006D714B">
      <w:pPr>
        <w:pStyle w:val="GvdeMetni"/>
        <w:tabs>
          <w:tab w:val="left" w:pos="284"/>
        </w:tabs>
        <w:spacing w:before="50"/>
        <w:ind w:left="0" w:right="-46" w:firstLine="0"/>
        <w:jc w:val="both"/>
        <w:rPr>
          <w:rFonts w:cs="Times New Roman"/>
        </w:rPr>
      </w:pPr>
      <w:r w:rsidRPr="006D714B">
        <w:rPr>
          <w:rFonts w:cs="Times New Roman"/>
        </w:rPr>
        <w:t>(Senate Resolution dated 05.02.2019 no. 02)</w:t>
      </w:r>
    </w:p>
    <w:p w:rsidR="005607D0" w:rsidRPr="006D714B" w:rsidRDefault="006D714B" w:rsidP="006D714B">
      <w:pPr>
        <w:pStyle w:val="GvdeMetni"/>
        <w:tabs>
          <w:tab w:val="left" w:pos="284"/>
        </w:tabs>
        <w:spacing w:before="50"/>
        <w:ind w:left="0" w:right="-46" w:firstLine="0"/>
        <w:jc w:val="both"/>
        <w:rPr>
          <w:rFonts w:cs="Times New Roman"/>
        </w:rPr>
      </w:pPr>
      <w:r w:rsidRPr="006D714B">
        <w:rPr>
          <w:rFonts w:cs="Times New Roman"/>
        </w:rPr>
        <w:t>(Senate Resolution dated 14.03.2017 no. 03)</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ind w:left="0" w:right="-46"/>
        <w:jc w:val="center"/>
        <w:rPr>
          <w:rFonts w:cs="Times New Roman"/>
          <w:b w:val="0"/>
          <w:bCs w:val="0"/>
        </w:rPr>
      </w:pPr>
      <w:r w:rsidRPr="006D714B">
        <w:rPr>
          <w:rFonts w:cs="Times New Roman"/>
        </w:rPr>
        <w:t>ATILIM UNIVERSITY</w:t>
      </w:r>
    </w:p>
    <w:p w:rsidR="005607D0" w:rsidRPr="006D714B" w:rsidRDefault="006D714B" w:rsidP="006D714B">
      <w:pPr>
        <w:tabs>
          <w:tab w:val="left" w:pos="284"/>
        </w:tabs>
        <w:spacing w:before="2"/>
        <w:ind w:right="-46"/>
        <w:jc w:val="center"/>
        <w:rPr>
          <w:rFonts w:ascii="Times New Roman" w:eastAsia="Times New Roman" w:hAnsi="Times New Roman" w:cs="Times New Roman"/>
          <w:sz w:val="24"/>
          <w:szCs w:val="24"/>
        </w:rPr>
      </w:pPr>
      <w:r w:rsidRPr="006D714B">
        <w:rPr>
          <w:rFonts w:ascii="Times New Roman" w:hAnsi="Times New Roman" w:cs="Times New Roman"/>
          <w:b/>
          <w:sz w:val="24"/>
          <w:szCs w:val="24"/>
        </w:rPr>
        <w:t>DIRECTIVE ON DOUBLE MAJOR PROGRAMS</w:t>
      </w:r>
    </w:p>
    <w:p w:rsidR="005607D0" w:rsidRPr="006D714B" w:rsidRDefault="005607D0" w:rsidP="006D714B">
      <w:pPr>
        <w:tabs>
          <w:tab w:val="left" w:pos="284"/>
        </w:tabs>
        <w:ind w:right="-46"/>
        <w:rPr>
          <w:rFonts w:ascii="Times New Roman" w:eastAsia="Times New Roman" w:hAnsi="Times New Roman" w:cs="Times New Roman"/>
          <w:b/>
          <w:bCs/>
          <w:sz w:val="24"/>
          <w:szCs w:val="24"/>
        </w:rPr>
      </w:pPr>
    </w:p>
    <w:p w:rsidR="005607D0" w:rsidRPr="006D714B" w:rsidRDefault="006D714B" w:rsidP="006D714B">
      <w:pPr>
        <w:tabs>
          <w:tab w:val="left" w:pos="284"/>
        </w:tabs>
        <w:spacing w:line="275" w:lineRule="exact"/>
        <w:ind w:right="-46"/>
        <w:jc w:val="center"/>
        <w:rPr>
          <w:rFonts w:ascii="Times New Roman" w:eastAsia="Times New Roman" w:hAnsi="Times New Roman" w:cs="Times New Roman"/>
          <w:sz w:val="24"/>
          <w:szCs w:val="24"/>
        </w:rPr>
      </w:pPr>
      <w:r w:rsidRPr="006D714B">
        <w:rPr>
          <w:rFonts w:ascii="Times New Roman" w:hAnsi="Times New Roman" w:cs="Times New Roman"/>
          <w:b/>
          <w:sz w:val="24"/>
          <w:szCs w:val="24"/>
        </w:rPr>
        <w:t>SECTION ONE</w:t>
      </w:r>
    </w:p>
    <w:p w:rsidR="005607D0" w:rsidRPr="006D714B" w:rsidRDefault="006D714B" w:rsidP="006D714B">
      <w:pPr>
        <w:tabs>
          <w:tab w:val="left" w:pos="284"/>
        </w:tabs>
        <w:spacing w:line="275" w:lineRule="exact"/>
        <w:ind w:right="-46"/>
        <w:jc w:val="center"/>
        <w:rPr>
          <w:rFonts w:ascii="Times New Roman" w:eastAsia="Times New Roman" w:hAnsi="Times New Roman" w:cs="Times New Roman"/>
          <w:sz w:val="24"/>
          <w:szCs w:val="24"/>
        </w:rPr>
      </w:pPr>
      <w:r w:rsidRPr="006D714B">
        <w:rPr>
          <w:rFonts w:ascii="Times New Roman" w:hAnsi="Times New Roman" w:cs="Times New Roman"/>
          <w:b/>
          <w:sz w:val="24"/>
          <w:szCs w:val="24"/>
        </w:rPr>
        <w:t>Purpose-Scope-Basis</w:t>
      </w:r>
    </w:p>
    <w:p w:rsidR="005607D0" w:rsidRPr="006D714B" w:rsidRDefault="005607D0" w:rsidP="006D714B">
      <w:pPr>
        <w:tabs>
          <w:tab w:val="left" w:pos="284"/>
        </w:tabs>
        <w:ind w:right="-46"/>
        <w:rPr>
          <w:rFonts w:ascii="Times New Roman" w:eastAsia="Times New Roman" w:hAnsi="Times New Roman" w:cs="Times New Roman"/>
          <w:b/>
          <w:bCs/>
          <w:sz w:val="24"/>
          <w:szCs w:val="24"/>
        </w:rPr>
      </w:pPr>
    </w:p>
    <w:p w:rsidR="005607D0" w:rsidRPr="006D714B" w:rsidRDefault="006D714B" w:rsidP="006D714B">
      <w:pPr>
        <w:tabs>
          <w:tab w:val="left" w:pos="284"/>
        </w:tabs>
        <w:spacing w:line="275" w:lineRule="exact"/>
        <w:ind w:right="-46"/>
        <w:rPr>
          <w:rFonts w:ascii="Times New Roman" w:eastAsia="Times New Roman" w:hAnsi="Times New Roman" w:cs="Times New Roman"/>
          <w:sz w:val="24"/>
          <w:szCs w:val="24"/>
        </w:rPr>
      </w:pPr>
      <w:r w:rsidRPr="006D714B">
        <w:rPr>
          <w:rFonts w:ascii="Times New Roman" w:hAnsi="Times New Roman" w:cs="Times New Roman"/>
          <w:b/>
          <w:sz w:val="24"/>
          <w:szCs w:val="24"/>
        </w:rPr>
        <w:t>Purpose</w:t>
      </w:r>
    </w:p>
    <w:p w:rsidR="005607D0" w:rsidRPr="006D714B" w:rsidRDefault="006D714B" w:rsidP="006D714B">
      <w:pPr>
        <w:tabs>
          <w:tab w:val="left" w:pos="284"/>
        </w:tabs>
        <w:ind w:right="-46" w:firstLine="706"/>
        <w:jc w:val="both"/>
        <w:rPr>
          <w:rFonts w:ascii="Times New Roman" w:eastAsia="Times New Roman" w:hAnsi="Times New Roman" w:cs="Times New Roman"/>
          <w:sz w:val="24"/>
          <w:szCs w:val="24"/>
        </w:rPr>
      </w:pPr>
      <w:r w:rsidRPr="006D714B">
        <w:rPr>
          <w:rFonts w:ascii="Times New Roman" w:hAnsi="Times New Roman" w:cs="Times New Roman"/>
          <w:b/>
          <w:sz w:val="24"/>
          <w:szCs w:val="24"/>
        </w:rPr>
        <w:t xml:space="preserve">ARTICLE 1 </w:t>
      </w:r>
      <w:r w:rsidRPr="006D714B">
        <w:rPr>
          <w:rFonts w:ascii="Times New Roman" w:hAnsi="Times New Roman" w:cs="Times New Roman"/>
          <w:sz w:val="24"/>
          <w:szCs w:val="24"/>
        </w:rPr>
        <w:t xml:space="preserve">- (1) The aim of double major programs is to ensure that students who pursue their undergraduate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or associate degree studies </w:t>
      </w:r>
      <w:r w:rsidRPr="006D714B">
        <w:rPr>
          <w:rFonts w:ascii="Times New Roman" w:hAnsi="Times New Roman" w:cs="Times New Roman"/>
          <w:sz w:val="24"/>
          <w:szCs w:val="24"/>
        </w:rPr>
        <w:t xml:space="preserve">in their departments successfully have the opportunity to pursue a second major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under another program at the University at the same time in order to receive a second undergraduate/ associate degree.</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2" w:lineRule="exact"/>
        <w:ind w:left="0" w:right="-46"/>
        <w:rPr>
          <w:rFonts w:cs="Times New Roman"/>
          <w:b w:val="0"/>
          <w:bCs w:val="0"/>
        </w:rPr>
      </w:pPr>
      <w:r w:rsidRPr="006D714B">
        <w:rPr>
          <w:rFonts w:cs="Times New Roman"/>
        </w:rPr>
        <w:t>Scope</w:t>
      </w:r>
    </w:p>
    <w:p w:rsidR="005607D0" w:rsidRPr="006D714B" w:rsidRDefault="006D714B" w:rsidP="006D714B">
      <w:pPr>
        <w:tabs>
          <w:tab w:val="left" w:pos="284"/>
        </w:tabs>
        <w:ind w:right="-46" w:firstLine="706"/>
        <w:jc w:val="both"/>
        <w:rPr>
          <w:rFonts w:ascii="Times New Roman" w:eastAsia="Times New Roman" w:hAnsi="Times New Roman" w:cs="Times New Roman"/>
          <w:sz w:val="24"/>
          <w:szCs w:val="24"/>
        </w:rPr>
      </w:pPr>
      <w:r w:rsidRPr="006D714B">
        <w:rPr>
          <w:rFonts w:ascii="Times New Roman" w:hAnsi="Times New Roman" w:cs="Times New Roman"/>
          <w:b/>
          <w:sz w:val="24"/>
          <w:szCs w:val="24"/>
        </w:rPr>
        <w:t>ARTICL</w:t>
      </w:r>
      <w:r w:rsidRPr="006D714B">
        <w:rPr>
          <w:rFonts w:ascii="Times New Roman" w:hAnsi="Times New Roman" w:cs="Times New Roman"/>
          <w:b/>
          <w:sz w:val="24"/>
          <w:szCs w:val="24"/>
        </w:rPr>
        <w:t>E 2</w:t>
      </w:r>
      <w:r w:rsidRPr="006D714B">
        <w:rPr>
          <w:rFonts w:ascii="Times New Roman" w:hAnsi="Times New Roman" w:cs="Times New Roman"/>
          <w:sz w:val="24"/>
          <w:szCs w:val="24"/>
        </w:rPr>
        <w:t xml:space="preserve"> - (1) This Directive covers the provisions concerning the conditions for application and admission, education, success and graduation for Atılım University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students pursuing double major programs.</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5" w:lineRule="exact"/>
        <w:ind w:left="0" w:right="-46"/>
        <w:rPr>
          <w:rFonts w:cs="Times New Roman"/>
          <w:b w:val="0"/>
          <w:bCs w:val="0"/>
        </w:rPr>
      </w:pPr>
      <w:r w:rsidRPr="006D714B">
        <w:rPr>
          <w:rFonts w:cs="Times New Roman"/>
        </w:rPr>
        <w:t>Basis</w:t>
      </w:r>
    </w:p>
    <w:p w:rsidR="005607D0" w:rsidRPr="006D714B" w:rsidRDefault="006D714B" w:rsidP="006D714B">
      <w:pPr>
        <w:pStyle w:val="GvdeMetni"/>
        <w:tabs>
          <w:tab w:val="left" w:pos="284"/>
        </w:tabs>
        <w:ind w:left="0" w:right="-46"/>
        <w:jc w:val="both"/>
        <w:rPr>
          <w:rFonts w:cs="Times New Roman"/>
        </w:rPr>
      </w:pPr>
      <w:r w:rsidRPr="006D714B">
        <w:rPr>
          <w:rFonts w:cs="Times New Roman"/>
          <w:b/>
        </w:rPr>
        <w:t>ARTICLE 3-(1)</w:t>
      </w:r>
      <w:r w:rsidRPr="006D714B">
        <w:rPr>
          <w:rFonts w:cs="Times New Roman"/>
        </w:rPr>
        <w:t xml:space="preserve"> Article 14 of Law on Higher Education no. 2547, and</w:t>
      </w:r>
      <w:r w:rsidRPr="006D714B">
        <w:rPr>
          <w:rFonts w:cs="Times New Roman"/>
        </w:rPr>
        <w:t xml:space="preserve"> </w:t>
      </w:r>
      <w:r w:rsidRPr="006D714B">
        <w:rPr>
          <w:rFonts w:cs="Times New Roman"/>
        </w:rPr>
        <w:t>Regulations on Transfer among Associate and Undergraduate Degree Programs of Higher Education Institutions, Double and Minor Major Programs, and Inter-Institutional Credit Transfer, publishe</w:t>
      </w:r>
      <w:r w:rsidRPr="006D714B">
        <w:rPr>
          <w:rFonts w:cs="Times New Roman"/>
        </w:rPr>
        <w:t>d in the Official Gazette No: 27561, dated April 24, 2010, constitute the basis for this Directive.</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ind w:left="0" w:right="-46"/>
        <w:jc w:val="center"/>
        <w:rPr>
          <w:rFonts w:cs="Times New Roman"/>
          <w:b w:val="0"/>
          <w:bCs w:val="0"/>
        </w:rPr>
      </w:pPr>
      <w:r w:rsidRPr="006D714B">
        <w:rPr>
          <w:rFonts w:cs="Times New Roman"/>
        </w:rPr>
        <w:t>SECTION TWO</w:t>
      </w:r>
    </w:p>
    <w:p w:rsidR="005607D0" w:rsidRPr="006D714B" w:rsidRDefault="006D714B" w:rsidP="006D714B">
      <w:pPr>
        <w:tabs>
          <w:tab w:val="left" w:pos="284"/>
        </w:tabs>
        <w:spacing w:before="2"/>
        <w:ind w:right="-46"/>
        <w:jc w:val="center"/>
        <w:rPr>
          <w:rFonts w:ascii="Times New Roman" w:eastAsia="Times New Roman" w:hAnsi="Times New Roman" w:cs="Times New Roman"/>
          <w:sz w:val="24"/>
          <w:szCs w:val="24"/>
        </w:rPr>
      </w:pPr>
      <w:r w:rsidRPr="006D714B">
        <w:rPr>
          <w:rFonts w:ascii="Times New Roman" w:hAnsi="Times New Roman" w:cs="Times New Roman"/>
          <w:b/>
          <w:sz w:val="24"/>
          <w:szCs w:val="24"/>
        </w:rPr>
        <w:t>Opening Double Major Programs, Application and Admission Conditions</w:t>
      </w:r>
    </w:p>
    <w:p w:rsidR="005607D0" w:rsidRPr="006D714B" w:rsidRDefault="005607D0" w:rsidP="006D714B">
      <w:pPr>
        <w:tabs>
          <w:tab w:val="left" w:pos="284"/>
        </w:tabs>
        <w:ind w:right="-46"/>
        <w:rPr>
          <w:rFonts w:ascii="Times New Roman" w:eastAsia="Times New Roman" w:hAnsi="Times New Roman" w:cs="Times New Roman"/>
          <w:b/>
          <w:bCs/>
          <w:sz w:val="24"/>
          <w:szCs w:val="24"/>
        </w:rPr>
      </w:pPr>
    </w:p>
    <w:p w:rsidR="005607D0" w:rsidRPr="006D714B" w:rsidRDefault="006D714B" w:rsidP="006D714B">
      <w:pPr>
        <w:tabs>
          <w:tab w:val="left" w:pos="284"/>
        </w:tabs>
        <w:spacing w:line="273" w:lineRule="exact"/>
        <w:ind w:right="-46"/>
        <w:rPr>
          <w:rFonts w:ascii="Times New Roman" w:eastAsia="Times New Roman" w:hAnsi="Times New Roman" w:cs="Times New Roman"/>
          <w:sz w:val="24"/>
          <w:szCs w:val="24"/>
        </w:rPr>
      </w:pPr>
      <w:r w:rsidRPr="006D714B">
        <w:rPr>
          <w:rFonts w:ascii="Times New Roman" w:hAnsi="Times New Roman" w:cs="Times New Roman"/>
          <w:b/>
          <w:sz w:val="24"/>
          <w:szCs w:val="24"/>
        </w:rPr>
        <w:t>Opening Double Major Programs</w:t>
      </w:r>
    </w:p>
    <w:p w:rsidR="006D714B" w:rsidRDefault="006D714B" w:rsidP="006D714B">
      <w:pPr>
        <w:tabs>
          <w:tab w:val="left" w:pos="284"/>
        </w:tabs>
        <w:ind w:right="-46" w:firstLine="706"/>
        <w:jc w:val="both"/>
        <w:rPr>
          <w:rFonts w:ascii="Times New Roman" w:hAnsi="Times New Roman" w:cs="Times New Roman"/>
          <w:sz w:val="24"/>
          <w:szCs w:val="24"/>
        </w:rPr>
      </w:pPr>
      <w:r w:rsidRPr="006D714B">
        <w:rPr>
          <w:rFonts w:ascii="Times New Roman" w:hAnsi="Times New Roman" w:cs="Times New Roman"/>
          <w:b/>
          <w:sz w:val="24"/>
          <w:szCs w:val="24"/>
        </w:rPr>
        <w:t>ARTICLE 4 -</w:t>
      </w:r>
      <w:r w:rsidRPr="006D714B">
        <w:rPr>
          <w:rFonts w:ascii="Times New Roman" w:hAnsi="Times New Roman" w:cs="Times New Roman"/>
          <w:sz w:val="24"/>
          <w:szCs w:val="24"/>
        </w:rPr>
        <w:t>(1) Double major programs are ope</w:t>
      </w:r>
      <w:r w:rsidRPr="006D714B">
        <w:rPr>
          <w:rFonts w:ascii="Times New Roman" w:hAnsi="Times New Roman" w:cs="Times New Roman"/>
          <w:sz w:val="24"/>
          <w:szCs w:val="24"/>
        </w:rPr>
        <w:t xml:space="preserve">ned with the approval of the Senate upon the proposal of relevant departments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and executive boards of schools. Double major programs include all courses of the relevant undergraduate/ associate degree program </w:t>
      </w:r>
      <w:r w:rsidRPr="006D714B">
        <w:rPr>
          <w:rFonts w:ascii="Times New Roman" w:hAnsi="Times New Roman" w:cs="Times New Roman"/>
          <w:b/>
          <w:sz w:val="24"/>
          <w:szCs w:val="24"/>
        </w:rPr>
        <w:t>(Se</w:t>
      </w:r>
      <w:r w:rsidRPr="006D714B">
        <w:rPr>
          <w:rFonts w:ascii="Times New Roman" w:hAnsi="Times New Roman" w:cs="Times New Roman"/>
          <w:b/>
          <w:sz w:val="24"/>
          <w:szCs w:val="24"/>
        </w:rPr>
        <w:t>nate Resolution dated 07.12.2021 no. 16)</w:t>
      </w:r>
      <w:r w:rsidRPr="006D714B">
        <w:rPr>
          <w:rFonts w:ascii="Times New Roman" w:hAnsi="Times New Roman" w:cs="Times New Roman"/>
          <w:sz w:val="24"/>
          <w:szCs w:val="24"/>
        </w:rPr>
        <w:t xml:space="preserve">. Course equivalence is determined by relevant departments. </w:t>
      </w:r>
    </w:p>
    <w:p w:rsidR="005607D0" w:rsidRPr="006D714B" w:rsidRDefault="006D714B" w:rsidP="006D714B">
      <w:pPr>
        <w:tabs>
          <w:tab w:val="left" w:pos="284"/>
        </w:tabs>
        <w:ind w:right="-46" w:firstLine="706"/>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Pr="006D714B">
        <w:rPr>
          <w:rFonts w:ascii="Times New Roman" w:hAnsi="Times New Roman" w:cs="Times New Roman"/>
          <w:sz w:val="24"/>
          <w:szCs w:val="24"/>
        </w:rPr>
        <w:t>Double major program students must take a minimum of twelve (12) courses not less than 60 ECTS excluding common or equivalent courses of their undergraduat</w:t>
      </w:r>
      <w:r w:rsidRPr="006D714B">
        <w:rPr>
          <w:rFonts w:ascii="Times New Roman" w:hAnsi="Times New Roman" w:cs="Times New Roman"/>
          <w:sz w:val="24"/>
          <w:szCs w:val="24"/>
        </w:rPr>
        <w:t xml:space="preserve">e degree programs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or 6 courses not less than 30 ECTS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in total, excluding common or equivalent courses of their associate degree programs </w:t>
      </w:r>
      <w:r w:rsidRPr="006D714B">
        <w:rPr>
          <w:rFonts w:ascii="Times New Roman" w:hAnsi="Times New Roman" w:cs="Times New Roman"/>
          <w:b/>
          <w:sz w:val="24"/>
          <w:szCs w:val="24"/>
        </w:rPr>
        <w:t>(Senate Resolution dated 07.12</w:t>
      </w:r>
      <w:r w:rsidRPr="006D714B">
        <w:rPr>
          <w:rFonts w:ascii="Times New Roman" w:hAnsi="Times New Roman" w:cs="Times New Roman"/>
          <w:b/>
          <w:sz w:val="24"/>
          <w:szCs w:val="24"/>
        </w:rPr>
        <w:t>.2021 no. 16)</w:t>
      </w:r>
      <w:r w:rsidRPr="006D714B">
        <w:rPr>
          <w:rFonts w:ascii="Times New Roman" w:hAnsi="Times New Roman" w:cs="Times New Roman"/>
          <w:sz w:val="24"/>
          <w:szCs w:val="24"/>
        </w:rPr>
        <w:t>.</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2" w:lineRule="exact"/>
        <w:ind w:left="0" w:right="-46"/>
        <w:rPr>
          <w:rFonts w:cs="Times New Roman"/>
          <w:b w:val="0"/>
          <w:bCs w:val="0"/>
        </w:rPr>
      </w:pPr>
      <w:r w:rsidRPr="006D714B">
        <w:rPr>
          <w:rFonts w:cs="Times New Roman"/>
        </w:rPr>
        <w:t>Terms of application and admission</w:t>
      </w:r>
    </w:p>
    <w:p w:rsidR="005607D0" w:rsidRPr="006D714B" w:rsidRDefault="006D714B" w:rsidP="006D714B">
      <w:pPr>
        <w:pStyle w:val="GvdeMetni"/>
        <w:tabs>
          <w:tab w:val="left" w:pos="284"/>
        </w:tabs>
        <w:ind w:left="0" w:right="-46"/>
        <w:jc w:val="both"/>
        <w:rPr>
          <w:rFonts w:cs="Times New Roman"/>
        </w:rPr>
      </w:pPr>
      <w:r w:rsidRPr="006D714B">
        <w:rPr>
          <w:rFonts w:cs="Times New Roman"/>
          <w:b/>
        </w:rPr>
        <w:t>ARTICLE 5 - (1) (Senate Resolution dated 07.12.2021 no. 16)</w:t>
      </w:r>
      <w:r w:rsidRPr="006D714B">
        <w:rPr>
          <w:rFonts w:cs="Times New Roman"/>
        </w:rPr>
        <w:t xml:space="preserve"> Undergraduate degree program students must complete a minimum of two and a maximum of four semesters in their own undergraduate program to apply to pursue double major programs. The condition for associate degree program students is to complete at least o</w:t>
      </w:r>
      <w:r w:rsidRPr="006D714B">
        <w:rPr>
          <w:rFonts w:cs="Times New Roman"/>
        </w:rPr>
        <w:t>ne, and at most two semesters before applying. Applications are made to the relevant department with a letter and transcript within previously announced dates.</w:t>
      </w:r>
    </w:p>
    <w:p w:rsidR="005607D0" w:rsidRPr="006D714B" w:rsidRDefault="005607D0" w:rsidP="006D714B">
      <w:pPr>
        <w:tabs>
          <w:tab w:val="left" w:pos="284"/>
        </w:tabs>
        <w:ind w:right="-46"/>
        <w:jc w:val="both"/>
        <w:rPr>
          <w:rFonts w:ascii="Times New Roman" w:hAnsi="Times New Roman" w:cs="Times New Roman"/>
          <w:sz w:val="24"/>
          <w:szCs w:val="24"/>
        </w:rPr>
        <w:sectPr w:rsidR="005607D0" w:rsidRPr="006D714B">
          <w:type w:val="continuous"/>
          <w:pgSz w:w="11910" w:h="16840"/>
          <w:pgMar w:top="1340" w:right="1300" w:bottom="280" w:left="1300" w:header="720" w:footer="720" w:gutter="0"/>
          <w:cols w:space="720"/>
        </w:sectPr>
      </w:pPr>
    </w:p>
    <w:p w:rsidR="005607D0" w:rsidRPr="006D714B" w:rsidRDefault="006D714B" w:rsidP="006D714B">
      <w:pPr>
        <w:pStyle w:val="ListeParagraf"/>
        <w:numPr>
          <w:ilvl w:val="1"/>
          <w:numId w:val="3"/>
        </w:numPr>
        <w:tabs>
          <w:tab w:val="left" w:pos="284"/>
          <w:tab w:val="left" w:pos="1259"/>
        </w:tabs>
        <w:spacing w:before="50"/>
        <w:ind w:left="0" w:right="-46" w:firstLine="711"/>
        <w:jc w:val="both"/>
        <w:rPr>
          <w:rFonts w:ascii="Times New Roman" w:eastAsia="Times New Roman" w:hAnsi="Times New Roman" w:cs="Times New Roman"/>
          <w:sz w:val="24"/>
          <w:szCs w:val="24"/>
        </w:rPr>
      </w:pPr>
      <w:r w:rsidRPr="006D714B">
        <w:rPr>
          <w:rFonts w:ascii="Times New Roman" w:hAnsi="Times New Roman" w:cs="Times New Roman"/>
          <w:sz w:val="24"/>
          <w:szCs w:val="24"/>
        </w:rPr>
        <w:lastRenderedPageBreak/>
        <w:t>In order to be eligible for the program, students must have passed all credit co</w:t>
      </w:r>
      <w:r w:rsidRPr="006D714B">
        <w:rPr>
          <w:rFonts w:ascii="Times New Roman" w:hAnsi="Times New Roman" w:cs="Times New Roman"/>
          <w:sz w:val="24"/>
          <w:szCs w:val="24"/>
        </w:rPr>
        <w:t xml:space="preserve">urses in their own undergraduate/ associate degree program, have a minimum GPA of 3.00/4.00 and rank in the top 20%with respect to their grades relevant to their class under their main degree program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w:t>
      </w:r>
      <w:r>
        <w:rPr>
          <w:rFonts w:ascii="Times New Roman" w:hAnsi="Times New Roman" w:cs="Times New Roman"/>
          <w:sz w:val="24"/>
          <w:szCs w:val="24"/>
        </w:rPr>
        <w:t xml:space="preserve"> </w:t>
      </w:r>
      <w:r w:rsidRPr="006D714B">
        <w:rPr>
          <w:rFonts w:ascii="Times New Roman" w:hAnsi="Times New Roman" w:cs="Times New Roman"/>
          <w:sz w:val="24"/>
          <w:szCs w:val="24"/>
        </w:rPr>
        <w:t>The students who have minimum GPA of 3.00/4.00 but are not included in the top 20% of their undergraduate program may apply for double major programs provided that their university entrance exam scores are higher than the base point of the double major pro</w:t>
      </w:r>
      <w:r w:rsidRPr="006D714B">
        <w:rPr>
          <w:rFonts w:ascii="Times New Roman" w:hAnsi="Times New Roman" w:cs="Times New Roman"/>
          <w:sz w:val="24"/>
          <w:szCs w:val="24"/>
        </w:rPr>
        <w:t>gram in question in the year of their admission.</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ListeParagraf"/>
        <w:numPr>
          <w:ilvl w:val="1"/>
          <w:numId w:val="3"/>
        </w:numPr>
        <w:tabs>
          <w:tab w:val="left" w:pos="284"/>
          <w:tab w:val="left" w:pos="1187"/>
        </w:tabs>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 xml:space="preserve">Admission procedures are finalized with the decision of the executive board of school for the program of the students’ choice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ListeParagraf"/>
        <w:numPr>
          <w:ilvl w:val="1"/>
          <w:numId w:val="3"/>
        </w:numPr>
        <w:tabs>
          <w:tab w:val="left" w:pos="284"/>
          <w:tab w:val="left" w:pos="1206"/>
        </w:tabs>
        <w:spacing w:line="242" w:lineRule="auto"/>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Withdrawn (W) courses are included</w:t>
      </w:r>
      <w:r w:rsidRPr="006D714B">
        <w:rPr>
          <w:rFonts w:ascii="Times New Roman" w:hAnsi="Times New Roman" w:cs="Times New Roman"/>
          <w:sz w:val="24"/>
          <w:szCs w:val="24"/>
        </w:rPr>
        <w:t xml:space="preserve"> in the list of courses to be completed.</w:t>
      </w:r>
    </w:p>
    <w:p w:rsidR="005607D0" w:rsidRPr="006D714B" w:rsidRDefault="005607D0" w:rsidP="006D714B">
      <w:pPr>
        <w:tabs>
          <w:tab w:val="left" w:pos="284"/>
        </w:tabs>
        <w:spacing w:before="9"/>
        <w:ind w:right="-46"/>
        <w:rPr>
          <w:rFonts w:ascii="Times New Roman" w:eastAsia="Times New Roman" w:hAnsi="Times New Roman" w:cs="Times New Roman"/>
          <w:sz w:val="24"/>
          <w:szCs w:val="24"/>
        </w:rPr>
      </w:pPr>
    </w:p>
    <w:p w:rsidR="005607D0" w:rsidRPr="006D714B" w:rsidRDefault="006D714B" w:rsidP="006D714B">
      <w:pPr>
        <w:pStyle w:val="ListeParagraf"/>
        <w:numPr>
          <w:ilvl w:val="1"/>
          <w:numId w:val="3"/>
        </w:numPr>
        <w:tabs>
          <w:tab w:val="left" w:pos="284"/>
          <w:tab w:val="left" w:pos="1197"/>
        </w:tabs>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Students who wish to pursue a double major under an English medium program must meet the English proficiency requirements of the relevant department.</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ListeParagraf"/>
        <w:numPr>
          <w:ilvl w:val="1"/>
          <w:numId w:val="3"/>
        </w:numPr>
        <w:tabs>
          <w:tab w:val="left" w:pos="284"/>
          <w:tab w:val="left" w:pos="1264"/>
        </w:tabs>
        <w:spacing w:line="242" w:lineRule="auto"/>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Applicants must also meet the minimum ranking conditions specif</w:t>
      </w:r>
      <w:r w:rsidRPr="006D714B">
        <w:rPr>
          <w:rFonts w:ascii="Times New Roman" w:hAnsi="Times New Roman" w:cs="Times New Roman"/>
          <w:sz w:val="24"/>
          <w:szCs w:val="24"/>
        </w:rPr>
        <w:t>ied by the Higher Education Council for admission to relevant departments.</w:t>
      </w:r>
    </w:p>
    <w:p w:rsidR="005607D0" w:rsidRPr="006D714B" w:rsidRDefault="005607D0" w:rsidP="006D714B">
      <w:pPr>
        <w:tabs>
          <w:tab w:val="left" w:pos="284"/>
        </w:tabs>
        <w:spacing w:before="9"/>
        <w:ind w:right="-46"/>
        <w:rPr>
          <w:rFonts w:ascii="Times New Roman" w:eastAsia="Times New Roman" w:hAnsi="Times New Roman" w:cs="Times New Roman"/>
          <w:sz w:val="24"/>
          <w:szCs w:val="24"/>
        </w:rPr>
      </w:pPr>
    </w:p>
    <w:p w:rsidR="005607D0" w:rsidRPr="006D714B" w:rsidRDefault="006D714B" w:rsidP="006D714B">
      <w:pPr>
        <w:pStyle w:val="ListeParagraf"/>
        <w:numPr>
          <w:ilvl w:val="1"/>
          <w:numId w:val="3"/>
        </w:numPr>
        <w:tabs>
          <w:tab w:val="left" w:pos="284"/>
          <w:tab w:val="left" w:pos="1226"/>
        </w:tabs>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Associate degree program students may not pursue a double major in undergraduate degree programs.</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5" w:lineRule="exact"/>
        <w:ind w:left="0" w:right="-46"/>
        <w:rPr>
          <w:rFonts w:cs="Times New Roman"/>
          <w:b w:val="0"/>
          <w:bCs w:val="0"/>
        </w:rPr>
      </w:pPr>
      <w:r w:rsidRPr="006D714B">
        <w:rPr>
          <w:rFonts w:cs="Times New Roman"/>
        </w:rPr>
        <w:t>Double Major Programs</w:t>
      </w:r>
    </w:p>
    <w:p w:rsidR="005607D0" w:rsidRPr="006D714B" w:rsidRDefault="006D714B" w:rsidP="006D714B">
      <w:pPr>
        <w:pStyle w:val="GvdeMetni"/>
        <w:tabs>
          <w:tab w:val="left" w:pos="284"/>
        </w:tabs>
        <w:ind w:left="0" w:right="-46"/>
        <w:jc w:val="both"/>
        <w:rPr>
          <w:rFonts w:cs="Times New Roman"/>
        </w:rPr>
      </w:pPr>
      <w:r w:rsidRPr="006D714B">
        <w:rPr>
          <w:rFonts w:cs="Times New Roman"/>
          <w:b/>
        </w:rPr>
        <w:t>ARTICLE 6-</w:t>
      </w:r>
      <w:r w:rsidRPr="006D714B">
        <w:rPr>
          <w:rFonts w:cs="Times New Roman"/>
        </w:rPr>
        <w:t xml:space="preserve"> (1) A separate transcript shall be prepared for the double major program. Double major programs shall not affect the students’ success in and their graduation from their main degree programs.</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ListeParagraf"/>
        <w:numPr>
          <w:ilvl w:val="0"/>
          <w:numId w:val="2"/>
        </w:numPr>
        <w:tabs>
          <w:tab w:val="left" w:pos="284"/>
          <w:tab w:val="left" w:pos="1254"/>
        </w:tabs>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Courses to be recognized by both departments shall be determin</w:t>
      </w:r>
      <w:r w:rsidRPr="006D714B">
        <w:rPr>
          <w:rFonts w:ascii="Times New Roman" w:hAnsi="Times New Roman" w:cs="Times New Roman"/>
          <w:sz w:val="24"/>
          <w:szCs w:val="24"/>
        </w:rPr>
        <w:t xml:space="preserve">ed with a protocol and finalized upon the decision of the relevant executive board of school/ graduate school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The courses taken in main major programs and deemed to be equivalent shall be presented accordingly i</w:t>
      </w:r>
      <w:r w:rsidRPr="006D714B">
        <w:rPr>
          <w:rFonts w:ascii="Times New Roman" w:hAnsi="Times New Roman" w:cs="Times New Roman"/>
          <w:sz w:val="24"/>
          <w:szCs w:val="24"/>
        </w:rPr>
        <w:t xml:space="preserve">n both transcripts </w:t>
      </w:r>
      <w:r w:rsidRPr="006D714B">
        <w:rPr>
          <w:rFonts w:ascii="Times New Roman" w:hAnsi="Times New Roman" w:cs="Times New Roman"/>
          <w:b/>
          <w:sz w:val="24"/>
          <w:szCs w:val="24"/>
        </w:rPr>
        <w:t>(Senate Resolution dated 10.01.2023 no. 01)</w:t>
      </w:r>
      <w:r w:rsidRPr="006D714B">
        <w:rPr>
          <w:rFonts w:ascii="Times New Roman" w:hAnsi="Times New Roman" w:cs="Times New Roman"/>
          <w:sz w:val="24"/>
          <w:szCs w:val="24"/>
        </w:rPr>
        <w:t>.</w:t>
      </w:r>
    </w:p>
    <w:p w:rsidR="005607D0" w:rsidRPr="006D714B" w:rsidRDefault="005607D0" w:rsidP="006D714B">
      <w:pPr>
        <w:tabs>
          <w:tab w:val="left" w:pos="284"/>
        </w:tabs>
        <w:spacing w:before="1"/>
        <w:ind w:right="-46"/>
        <w:rPr>
          <w:rFonts w:ascii="Times New Roman" w:eastAsia="Times New Roman" w:hAnsi="Times New Roman" w:cs="Times New Roman"/>
          <w:sz w:val="24"/>
          <w:szCs w:val="24"/>
        </w:rPr>
      </w:pPr>
    </w:p>
    <w:p w:rsidR="005607D0" w:rsidRPr="006D714B" w:rsidRDefault="006D714B" w:rsidP="006D714B">
      <w:pPr>
        <w:pStyle w:val="ListeParagraf"/>
        <w:numPr>
          <w:ilvl w:val="0"/>
          <w:numId w:val="2"/>
        </w:numPr>
        <w:tabs>
          <w:tab w:val="left" w:pos="284"/>
          <w:tab w:val="left" w:pos="1254"/>
        </w:tabs>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 xml:space="preserve">Chairpersons of departments shall assign a Double Major Program Coordinator to assist the students in choosing a double major program and to ensure that double major programs are carried out </w:t>
      </w:r>
      <w:r w:rsidRPr="006D714B">
        <w:rPr>
          <w:rFonts w:ascii="Times New Roman" w:hAnsi="Times New Roman" w:cs="Times New Roman"/>
          <w:sz w:val="24"/>
          <w:szCs w:val="24"/>
        </w:rPr>
        <w:t xml:space="preserve">appropriately. Double Major Program Coordinators operate in coordination with the relevant student advisors of associate/ undergraduate degree programs </w:t>
      </w: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6D714B" w:rsidRPr="006D714B" w:rsidRDefault="006D714B" w:rsidP="006D714B">
      <w:pPr>
        <w:pStyle w:val="ListeParagraf"/>
        <w:numPr>
          <w:ilvl w:val="0"/>
          <w:numId w:val="2"/>
        </w:numPr>
        <w:tabs>
          <w:tab w:val="left" w:pos="284"/>
          <w:tab w:val="left" w:pos="1163"/>
        </w:tabs>
        <w:spacing w:line="274" w:lineRule="exact"/>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Students cannot register in multiple double major programs</w:t>
      </w:r>
      <w:r w:rsidRPr="006D714B">
        <w:rPr>
          <w:rFonts w:ascii="Times New Roman" w:hAnsi="Times New Roman" w:cs="Times New Roman"/>
          <w:sz w:val="24"/>
          <w:szCs w:val="24"/>
        </w:rPr>
        <w:t xml:space="preserve"> at the same time. However, students may enroll in a double major and a minor program at any given time.</w:t>
      </w:r>
    </w:p>
    <w:p w:rsidR="006D714B" w:rsidRPr="006D714B" w:rsidRDefault="006D714B" w:rsidP="006D714B">
      <w:pPr>
        <w:pStyle w:val="ListeParagraf"/>
        <w:rPr>
          <w:rFonts w:ascii="Times New Roman" w:hAnsi="Times New Roman" w:cs="Times New Roman"/>
          <w:sz w:val="24"/>
          <w:szCs w:val="24"/>
        </w:rPr>
      </w:pPr>
    </w:p>
    <w:p w:rsidR="005607D0" w:rsidRPr="006D714B" w:rsidRDefault="006D714B" w:rsidP="006D714B">
      <w:pPr>
        <w:pStyle w:val="ListeParagraf"/>
        <w:numPr>
          <w:ilvl w:val="0"/>
          <w:numId w:val="2"/>
        </w:numPr>
        <w:tabs>
          <w:tab w:val="left" w:pos="284"/>
          <w:tab w:val="left" w:pos="1163"/>
        </w:tabs>
        <w:spacing w:line="274" w:lineRule="exact"/>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 xml:space="preserve">This item has been repealed </w:t>
      </w:r>
      <w:r w:rsidRPr="006D714B">
        <w:rPr>
          <w:rFonts w:ascii="Times New Roman" w:hAnsi="Times New Roman" w:cs="Times New Roman"/>
          <w:b/>
          <w:sz w:val="24"/>
          <w:szCs w:val="24"/>
        </w:rPr>
        <w:t>(Senate Resolution dated 10.01.2023 no. 01)</w:t>
      </w:r>
      <w:r w:rsidRPr="006D714B">
        <w:rPr>
          <w:rFonts w:ascii="Times New Roman" w:hAnsi="Times New Roman" w:cs="Times New Roman"/>
          <w:sz w:val="24"/>
          <w:szCs w:val="24"/>
        </w:rPr>
        <w:t>.</w:t>
      </w:r>
    </w:p>
    <w:p w:rsidR="005607D0" w:rsidRPr="006D714B" w:rsidRDefault="005607D0" w:rsidP="006D714B">
      <w:pPr>
        <w:tabs>
          <w:tab w:val="left" w:pos="284"/>
        </w:tabs>
        <w:spacing w:before="6"/>
        <w:ind w:right="-46"/>
        <w:rPr>
          <w:rFonts w:ascii="Times New Roman" w:eastAsia="Times New Roman" w:hAnsi="Times New Roman" w:cs="Times New Roman"/>
          <w:sz w:val="24"/>
          <w:szCs w:val="24"/>
        </w:rPr>
      </w:pPr>
    </w:p>
    <w:p w:rsidR="005607D0" w:rsidRPr="006D714B" w:rsidRDefault="006D714B" w:rsidP="006D714B">
      <w:pPr>
        <w:pStyle w:val="ListeParagraf"/>
        <w:numPr>
          <w:ilvl w:val="0"/>
          <w:numId w:val="2"/>
        </w:numPr>
        <w:tabs>
          <w:tab w:val="left" w:pos="284"/>
          <w:tab w:val="left" w:pos="1173"/>
        </w:tabs>
        <w:spacing w:line="274" w:lineRule="exact"/>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b/>
          <w:sz w:val="24"/>
          <w:szCs w:val="24"/>
        </w:rPr>
        <w:t>(Senate Resolution dated 07.12.2021 no. 16)</w:t>
      </w:r>
      <w:r w:rsidRPr="006D714B">
        <w:rPr>
          <w:rFonts w:ascii="Times New Roman" w:hAnsi="Times New Roman" w:cs="Times New Roman"/>
          <w:sz w:val="24"/>
          <w:szCs w:val="24"/>
        </w:rPr>
        <w:t xml:space="preserve"> Registration of students not hav</w:t>
      </w:r>
      <w:r w:rsidRPr="006D714B">
        <w:rPr>
          <w:rFonts w:ascii="Times New Roman" w:hAnsi="Times New Roman" w:cs="Times New Roman"/>
          <w:sz w:val="24"/>
          <w:szCs w:val="24"/>
        </w:rPr>
        <w:t>ing taken any courses in two semesters consecutively shall be suspended.</w:t>
      </w:r>
    </w:p>
    <w:p w:rsidR="005607D0" w:rsidRPr="006D714B" w:rsidRDefault="005607D0" w:rsidP="006D714B">
      <w:pPr>
        <w:tabs>
          <w:tab w:val="left" w:pos="284"/>
        </w:tabs>
        <w:spacing w:line="274" w:lineRule="exact"/>
        <w:ind w:right="-46"/>
        <w:jc w:val="both"/>
        <w:rPr>
          <w:rFonts w:ascii="Times New Roman" w:eastAsia="Times New Roman" w:hAnsi="Times New Roman" w:cs="Times New Roman"/>
          <w:sz w:val="24"/>
          <w:szCs w:val="24"/>
        </w:rPr>
        <w:sectPr w:rsidR="005607D0" w:rsidRPr="006D714B">
          <w:pgSz w:w="11910" w:h="16840"/>
          <w:pgMar w:top="1340" w:right="1300" w:bottom="280" w:left="1300" w:header="720" w:footer="720" w:gutter="0"/>
          <w:cols w:space="720"/>
        </w:sectPr>
      </w:pPr>
    </w:p>
    <w:p w:rsidR="005607D0" w:rsidRPr="006D714B" w:rsidRDefault="006D714B" w:rsidP="006D714B">
      <w:pPr>
        <w:pStyle w:val="Balk1"/>
        <w:tabs>
          <w:tab w:val="left" w:pos="284"/>
        </w:tabs>
        <w:spacing w:before="54"/>
        <w:ind w:left="0" w:right="-46"/>
        <w:jc w:val="center"/>
        <w:rPr>
          <w:rFonts w:cs="Times New Roman"/>
          <w:b w:val="0"/>
          <w:bCs w:val="0"/>
        </w:rPr>
      </w:pPr>
      <w:r w:rsidRPr="006D714B">
        <w:rPr>
          <w:rFonts w:cs="Times New Roman"/>
        </w:rPr>
        <w:lastRenderedPageBreak/>
        <w:t>SECTION THREE</w:t>
      </w:r>
    </w:p>
    <w:p w:rsidR="005607D0" w:rsidRPr="006D714B" w:rsidRDefault="006D714B" w:rsidP="006D714B">
      <w:pPr>
        <w:tabs>
          <w:tab w:val="left" w:pos="284"/>
        </w:tabs>
        <w:spacing w:before="2"/>
        <w:ind w:right="-46"/>
        <w:jc w:val="center"/>
        <w:rPr>
          <w:rFonts w:ascii="Times New Roman" w:eastAsia="Times New Roman" w:hAnsi="Times New Roman" w:cs="Times New Roman"/>
          <w:sz w:val="24"/>
          <w:szCs w:val="24"/>
        </w:rPr>
      </w:pPr>
      <w:r w:rsidRPr="006D714B">
        <w:rPr>
          <w:rFonts w:ascii="Times New Roman" w:hAnsi="Times New Roman" w:cs="Times New Roman"/>
          <w:b/>
          <w:sz w:val="24"/>
          <w:szCs w:val="24"/>
        </w:rPr>
        <w:t>Success and Graduation</w:t>
      </w:r>
    </w:p>
    <w:p w:rsidR="005607D0" w:rsidRPr="006D714B" w:rsidRDefault="005607D0" w:rsidP="006D714B">
      <w:pPr>
        <w:tabs>
          <w:tab w:val="left" w:pos="284"/>
        </w:tabs>
        <w:ind w:right="-46"/>
        <w:rPr>
          <w:rFonts w:ascii="Times New Roman" w:eastAsia="Times New Roman" w:hAnsi="Times New Roman" w:cs="Times New Roman"/>
          <w:b/>
          <w:bCs/>
          <w:sz w:val="24"/>
          <w:szCs w:val="24"/>
        </w:rPr>
      </w:pPr>
    </w:p>
    <w:p w:rsidR="005607D0" w:rsidRPr="006D714B" w:rsidRDefault="006D714B" w:rsidP="006D714B">
      <w:pPr>
        <w:tabs>
          <w:tab w:val="left" w:pos="284"/>
        </w:tabs>
        <w:spacing w:line="273" w:lineRule="exact"/>
        <w:ind w:right="-46"/>
        <w:rPr>
          <w:rFonts w:ascii="Times New Roman" w:eastAsia="Times New Roman" w:hAnsi="Times New Roman" w:cs="Times New Roman"/>
          <w:sz w:val="24"/>
          <w:szCs w:val="24"/>
        </w:rPr>
      </w:pPr>
      <w:r w:rsidRPr="006D714B">
        <w:rPr>
          <w:rFonts w:ascii="Times New Roman" w:hAnsi="Times New Roman" w:cs="Times New Roman"/>
          <w:b/>
          <w:sz w:val="24"/>
          <w:szCs w:val="24"/>
        </w:rPr>
        <w:t>Success and graduation</w:t>
      </w:r>
    </w:p>
    <w:p w:rsidR="005607D0" w:rsidRPr="006D714B" w:rsidRDefault="006D714B" w:rsidP="006D714B">
      <w:pPr>
        <w:pStyle w:val="GvdeMetni"/>
        <w:tabs>
          <w:tab w:val="left" w:pos="284"/>
        </w:tabs>
        <w:ind w:left="0" w:right="-46"/>
        <w:jc w:val="both"/>
        <w:rPr>
          <w:rFonts w:cs="Times New Roman"/>
        </w:rPr>
      </w:pPr>
      <w:r w:rsidRPr="006D714B">
        <w:rPr>
          <w:rFonts w:cs="Times New Roman"/>
          <w:b/>
        </w:rPr>
        <w:t>ARTICLE 7-</w:t>
      </w:r>
      <w:r w:rsidRPr="006D714B">
        <w:rPr>
          <w:rFonts w:cs="Times New Roman"/>
        </w:rPr>
        <w:t xml:space="preserve"> (1) Students may quit the double major programs at their own request. </w:t>
      </w:r>
      <w:r w:rsidRPr="006D714B">
        <w:rPr>
          <w:rFonts w:cs="Times New Roman"/>
        </w:rPr>
        <w:t>They are not required to repeat their failed double major program courses upon quitting the program.</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ListeParagraf"/>
        <w:numPr>
          <w:ilvl w:val="0"/>
          <w:numId w:val="1"/>
        </w:numPr>
        <w:tabs>
          <w:tab w:val="left" w:pos="284"/>
          <w:tab w:val="left" w:pos="1183"/>
        </w:tabs>
        <w:ind w:left="0" w:right="-46" w:firstLine="711"/>
        <w:jc w:val="both"/>
        <w:rPr>
          <w:rFonts w:ascii="Times New Roman" w:eastAsia="Times New Roman" w:hAnsi="Times New Roman" w:cs="Times New Roman"/>
          <w:sz w:val="24"/>
          <w:szCs w:val="24"/>
        </w:rPr>
      </w:pPr>
      <w:r w:rsidRPr="006D714B">
        <w:rPr>
          <w:rFonts w:ascii="Times New Roman" w:hAnsi="Times New Roman" w:cs="Times New Roman"/>
          <w:b/>
          <w:sz w:val="24"/>
          <w:szCs w:val="24"/>
        </w:rPr>
        <w:t xml:space="preserve">(Senate Resolution dated 18.12.2019, no. 10) </w:t>
      </w:r>
      <w:r w:rsidRPr="006D714B">
        <w:rPr>
          <w:rFonts w:ascii="Times New Roman" w:hAnsi="Times New Roman" w:cs="Times New Roman"/>
          <w:sz w:val="24"/>
          <w:szCs w:val="24"/>
        </w:rPr>
        <w:t>Students’ CGPA may drop under 2.72 over 4.00 only once during their entire double major program studies. In c</w:t>
      </w:r>
      <w:r w:rsidRPr="006D714B">
        <w:rPr>
          <w:rFonts w:ascii="Times New Roman" w:hAnsi="Times New Roman" w:cs="Times New Roman"/>
          <w:sz w:val="24"/>
          <w:szCs w:val="24"/>
        </w:rPr>
        <w:t>ases where students’ GPA drops below 2.72/ 4.00 in a double major program for a second time, their double major program shall be suspended.</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6D714B" w:rsidRDefault="006D714B" w:rsidP="006D714B">
      <w:pPr>
        <w:pStyle w:val="ListeParagraf"/>
        <w:numPr>
          <w:ilvl w:val="0"/>
          <w:numId w:val="1"/>
        </w:numPr>
        <w:tabs>
          <w:tab w:val="left" w:pos="284"/>
          <w:tab w:val="left" w:pos="1154"/>
        </w:tabs>
        <w:spacing w:before="1"/>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 xml:space="preserve">Students who have completed their own major program successfully and their double major program with a minimum GPA </w:t>
      </w:r>
      <w:r w:rsidRPr="006D714B">
        <w:rPr>
          <w:rFonts w:ascii="Times New Roman" w:hAnsi="Times New Roman" w:cs="Times New Roman"/>
          <w:sz w:val="24"/>
          <w:szCs w:val="24"/>
        </w:rPr>
        <w:t>of 2.00/4.00 shall receive the diploma for their double major program.</w:t>
      </w:r>
    </w:p>
    <w:p w:rsidR="006D714B" w:rsidRPr="006D714B" w:rsidRDefault="006D714B" w:rsidP="006D714B">
      <w:pPr>
        <w:pStyle w:val="ListeParagraf"/>
        <w:rPr>
          <w:rFonts w:ascii="Times New Roman" w:hAnsi="Times New Roman" w:cs="Times New Roman"/>
          <w:sz w:val="24"/>
          <w:szCs w:val="24"/>
        </w:rPr>
      </w:pPr>
    </w:p>
    <w:p w:rsidR="005607D0" w:rsidRPr="006D714B" w:rsidRDefault="006D714B" w:rsidP="006D714B">
      <w:pPr>
        <w:pStyle w:val="ListeParagraf"/>
        <w:numPr>
          <w:ilvl w:val="0"/>
          <w:numId w:val="1"/>
        </w:numPr>
        <w:tabs>
          <w:tab w:val="left" w:pos="284"/>
          <w:tab w:val="left" w:pos="1154"/>
        </w:tabs>
        <w:spacing w:before="1"/>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 xml:space="preserve">Only the main major program success of double major program students shall be taken into account for ranking purposes </w:t>
      </w:r>
      <w:r w:rsidRPr="006D714B">
        <w:rPr>
          <w:rFonts w:ascii="Times New Roman" w:hAnsi="Times New Roman" w:cs="Times New Roman"/>
          <w:b/>
          <w:sz w:val="24"/>
          <w:szCs w:val="24"/>
        </w:rPr>
        <w:t>(Senate Resolution dated 07.12.2021, no. 16).</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ListeParagraf"/>
        <w:numPr>
          <w:ilvl w:val="0"/>
          <w:numId w:val="1"/>
        </w:numPr>
        <w:tabs>
          <w:tab w:val="left" w:pos="284"/>
          <w:tab w:val="left" w:pos="1221"/>
        </w:tabs>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sz w:val="24"/>
          <w:szCs w:val="24"/>
        </w:rPr>
        <w:t>The maximum period of study for students having completed their main major programs successfully but not their double major programs is the maximum period of study specified under Paragraph (c) of Article</w:t>
      </w:r>
      <w:r w:rsidRPr="006D714B">
        <w:rPr>
          <w:rFonts w:ascii="Times New Roman" w:hAnsi="Times New Roman" w:cs="Times New Roman"/>
          <w:sz w:val="24"/>
          <w:szCs w:val="24"/>
        </w:rPr>
        <w:t xml:space="preserve"> 44 of Law no. 2547 from their year of registration</w:t>
      </w:r>
      <w:r w:rsidRPr="006D714B">
        <w:rPr>
          <w:rFonts w:ascii="Times New Roman" w:hAnsi="Times New Roman" w:cs="Times New Roman"/>
          <w:sz w:val="24"/>
          <w:szCs w:val="24"/>
        </w:rPr>
        <w:t xml:space="preserve"> to their double major program.</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ListeParagraf"/>
        <w:numPr>
          <w:ilvl w:val="0"/>
          <w:numId w:val="1"/>
        </w:numPr>
        <w:tabs>
          <w:tab w:val="left" w:pos="284"/>
          <w:tab w:val="left" w:pos="1178"/>
        </w:tabs>
        <w:ind w:left="0" w:right="-46" w:firstLine="706"/>
        <w:jc w:val="both"/>
        <w:rPr>
          <w:rFonts w:ascii="Times New Roman" w:eastAsia="Times New Roman" w:hAnsi="Times New Roman" w:cs="Times New Roman"/>
          <w:sz w:val="24"/>
          <w:szCs w:val="24"/>
        </w:rPr>
      </w:pPr>
      <w:r w:rsidRPr="006D714B">
        <w:rPr>
          <w:rFonts w:ascii="Times New Roman" w:hAnsi="Times New Roman" w:cs="Times New Roman"/>
          <w:b/>
          <w:sz w:val="24"/>
          <w:szCs w:val="24"/>
        </w:rPr>
        <w:t xml:space="preserve">(Senate Resolution dated 18.12.2019, no. 10) </w:t>
      </w:r>
      <w:r w:rsidRPr="006D714B">
        <w:rPr>
          <w:rFonts w:ascii="Times New Roman" w:hAnsi="Times New Roman" w:cs="Times New Roman"/>
          <w:sz w:val="24"/>
          <w:szCs w:val="24"/>
        </w:rPr>
        <w:t>Students</w:t>
      </w:r>
      <w:r w:rsidRPr="006D714B">
        <w:rPr>
          <w:rFonts w:ascii="Times New Roman" w:hAnsi="Times New Roman" w:cs="Times New Roman"/>
          <w:sz w:val="24"/>
          <w:szCs w:val="24"/>
        </w:rPr>
        <w:t xml:space="preserve"> continuing their double major programs are granted their graduation diploma only if they graduate from their main major program successfully.</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5" w:lineRule="exact"/>
        <w:ind w:left="0" w:right="-46"/>
        <w:jc w:val="center"/>
        <w:rPr>
          <w:rFonts w:cs="Times New Roman"/>
          <w:b w:val="0"/>
          <w:bCs w:val="0"/>
        </w:rPr>
      </w:pPr>
      <w:r w:rsidRPr="006D714B">
        <w:rPr>
          <w:rFonts w:cs="Times New Roman"/>
        </w:rPr>
        <w:t>SECTION FOUR</w:t>
      </w:r>
    </w:p>
    <w:p w:rsidR="005607D0" w:rsidRPr="006D714B" w:rsidRDefault="006D714B" w:rsidP="006D714B">
      <w:pPr>
        <w:tabs>
          <w:tab w:val="left" w:pos="284"/>
        </w:tabs>
        <w:spacing w:line="275" w:lineRule="exact"/>
        <w:ind w:right="-46"/>
        <w:jc w:val="center"/>
        <w:rPr>
          <w:rFonts w:ascii="Times New Roman" w:eastAsia="Times New Roman" w:hAnsi="Times New Roman" w:cs="Times New Roman"/>
          <w:sz w:val="24"/>
          <w:szCs w:val="24"/>
        </w:rPr>
      </w:pPr>
      <w:r w:rsidRPr="006D714B">
        <w:rPr>
          <w:rFonts w:ascii="Times New Roman" w:hAnsi="Times New Roman" w:cs="Times New Roman"/>
          <w:b/>
          <w:sz w:val="24"/>
          <w:szCs w:val="24"/>
        </w:rPr>
        <w:t>Miscellaneou</w:t>
      </w:r>
      <w:r w:rsidRPr="006D714B">
        <w:rPr>
          <w:rFonts w:ascii="Times New Roman" w:hAnsi="Times New Roman" w:cs="Times New Roman"/>
          <w:b/>
          <w:sz w:val="24"/>
          <w:szCs w:val="24"/>
        </w:rPr>
        <w:t>s Provisions</w:t>
      </w:r>
    </w:p>
    <w:p w:rsidR="005607D0" w:rsidRPr="006D714B" w:rsidRDefault="005607D0" w:rsidP="006D714B">
      <w:pPr>
        <w:tabs>
          <w:tab w:val="left" w:pos="284"/>
        </w:tabs>
        <w:ind w:right="-46"/>
        <w:rPr>
          <w:rFonts w:ascii="Times New Roman" w:eastAsia="Times New Roman" w:hAnsi="Times New Roman" w:cs="Times New Roman"/>
          <w:b/>
          <w:bCs/>
          <w:sz w:val="24"/>
          <w:szCs w:val="24"/>
        </w:rPr>
      </w:pPr>
    </w:p>
    <w:p w:rsidR="005607D0" w:rsidRPr="006D714B" w:rsidRDefault="006D714B" w:rsidP="006D714B">
      <w:pPr>
        <w:tabs>
          <w:tab w:val="left" w:pos="284"/>
        </w:tabs>
        <w:spacing w:line="275" w:lineRule="exact"/>
        <w:ind w:right="-46"/>
        <w:rPr>
          <w:rFonts w:ascii="Times New Roman" w:eastAsia="Times New Roman" w:hAnsi="Times New Roman" w:cs="Times New Roman"/>
          <w:sz w:val="24"/>
          <w:szCs w:val="24"/>
        </w:rPr>
      </w:pPr>
      <w:r w:rsidRPr="006D714B">
        <w:rPr>
          <w:rFonts w:ascii="Times New Roman" w:hAnsi="Times New Roman" w:cs="Times New Roman"/>
          <w:b/>
          <w:sz w:val="24"/>
          <w:szCs w:val="24"/>
        </w:rPr>
        <w:t>Quotas</w:t>
      </w:r>
    </w:p>
    <w:p w:rsidR="005607D0" w:rsidRPr="006D714B" w:rsidRDefault="006D714B" w:rsidP="006D714B">
      <w:pPr>
        <w:tabs>
          <w:tab w:val="left" w:pos="284"/>
        </w:tabs>
        <w:ind w:right="-46" w:firstLine="706"/>
        <w:jc w:val="both"/>
        <w:rPr>
          <w:rFonts w:ascii="Times New Roman" w:eastAsia="Times New Roman" w:hAnsi="Times New Roman" w:cs="Times New Roman"/>
          <w:sz w:val="24"/>
          <w:szCs w:val="24"/>
        </w:rPr>
      </w:pPr>
      <w:r w:rsidRPr="006D714B">
        <w:rPr>
          <w:rFonts w:ascii="Times New Roman" w:hAnsi="Times New Roman" w:cs="Times New Roman"/>
          <w:b/>
          <w:sz w:val="24"/>
          <w:szCs w:val="24"/>
        </w:rPr>
        <w:t>ARTICLE 8</w:t>
      </w:r>
      <w:r w:rsidRPr="006D714B">
        <w:rPr>
          <w:rFonts w:ascii="Times New Roman" w:hAnsi="Times New Roman" w:cs="Times New Roman"/>
          <w:sz w:val="24"/>
          <w:szCs w:val="24"/>
        </w:rPr>
        <w:t xml:space="preserve"> - (1) </w:t>
      </w:r>
      <w:r w:rsidRPr="006D714B">
        <w:rPr>
          <w:rFonts w:ascii="Times New Roman" w:hAnsi="Times New Roman" w:cs="Times New Roman"/>
          <w:b/>
          <w:sz w:val="24"/>
          <w:szCs w:val="24"/>
        </w:rPr>
        <w:t xml:space="preserve">(Senate Resolution dated 18.12.2019, no. 10) </w:t>
      </w:r>
      <w:r w:rsidRPr="006D714B">
        <w:rPr>
          <w:rFonts w:ascii="Times New Roman" w:hAnsi="Times New Roman" w:cs="Times New Roman"/>
          <w:sz w:val="24"/>
          <w:szCs w:val="24"/>
        </w:rPr>
        <w:t>Double</w:t>
      </w:r>
      <w:r w:rsidRPr="006D714B">
        <w:rPr>
          <w:rFonts w:ascii="Times New Roman" w:hAnsi="Times New Roman" w:cs="Times New Roman"/>
          <w:sz w:val="24"/>
          <w:szCs w:val="24"/>
        </w:rPr>
        <w:t xml:space="preserve"> major program quotas are determined and finalizes with a Senate Resolution when each academic year begins.</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2" w:lineRule="exact"/>
        <w:ind w:left="0" w:right="-46"/>
        <w:rPr>
          <w:rFonts w:cs="Times New Roman"/>
          <w:b w:val="0"/>
          <w:bCs w:val="0"/>
        </w:rPr>
      </w:pPr>
      <w:r w:rsidRPr="006D714B">
        <w:rPr>
          <w:rFonts w:cs="Times New Roman"/>
        </w:rPr>
        <w:t>Student Transfers</w:t>
      </w:r>
    </w:p>
    <w:p w:rsidR="005607D0" w:rsidRPr="006D714B" w:rsidRDefault="006D714B" w:rsidP="006D714B">
      <w:pPr>
        <w:pStyle w:val="GvdeMetni"/>
        <w:tabs>
          <w:tab w:val="left" w:pos="284"/>
        </w:tabs>
        <w:ind w:left="0" w:right="-46"/>
        <w:jc w:val="both"/>
        <w:rPr>
          <w:rFonts w:cs="Times New Roman"/>
        </w:rPr>
      </w:pPr>
      <w:r w:rsidRPr="006D714B">
        <w:rPr>
          <w:rFonts w:cs="Times New Roman"/>
          <w:b/>
        </w:rPr>
        <w:t>ARTICLE 9</w:t>
      </w:r>
      <w:r w:rsidRPr="006D714B">
        <w:rPr>
          <w:rFonts w:cs="Times New Roman"/>
        </w:rPr>
        <w:t>- (1) Double major students hav</w:t>
      </w:r>
      <w:r w:rsidRPr="006D714B">
        <w:rPr>
          <w:rFonts w:cs="Times New Roman"/>
        </w:rPr>
        <w:t>e the right to be transferred into a second major diploma program, if they meet the conditions of intra-institution transfer in their major diploma programs.</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2" w:lineRule="exact"/>
        <w:ind w:left="0" w:right="-46"/>
        <w:rPr>
          <w:rFonts w:cs="Times New Roman"/>
          <w:b w:val="0"/>
          <w:bCs w:val="0"/>
        </w:rPr>
      </w:pPr>
      <w:r w:rsidRPr="006D714B">
        <w:rPr>
          <w:rFonts w:cs="Times New Roman"/>
        </w:rPr>
        <w:t>Additional period and scholarship students</w:t>
      </w:r>
    </w:p>
    <w:p w:rsidR="005607D0" w:rsidRPr="006D714B" w:rsidRDefault="006D714B" w:rsidP="006D714B">
      <w:pPr>
        <w:pStyle w:val="GvdeMetni"/>
        <w:tabs>
          <w:tab w:val="left" w:pos="284"/>
        </w:tabs>
        <w:ind w:left="0" w:right="-46"/>
        <w:jc w:val="both"/>
        <w:rPr>
          <w:rFonts w:cs="Times New Roman"/>
        </w:rPr>
      </w:pPr>
      <w:r w:rsidRPr="006D714B">
        <w:rPr>
          <w:rFonts w:cs="Times New Roman"/>
          <w:b/>
        </w:rPr>
        <w:t>ARTICLE 10</w:t>
      </w:r>
      <w:r w:rsidRPr="006D714B">
        <w:rPr>
          <w:rFonts w:cs="Times New Roman"/>
        </w:rPr>
        <w:t xml:space="preserve"> - (1) Among the students registering under LYS/ YGS/ 15% Incentive/ “</w:t>
      </w:r>
      <w:r w:rsidRPr="006D714B">
        <w:rPr>
          <w:rFonts w:cs="Times New Roman"/>
          <w:i/>
        </w:rPr>
        <w:t>Geleceğe Atılım</w:t>
      </w:r>
      <w:r w:rsidRPr="006D714B">
        <w:rPr>
          <w:rFonts w:cs="Times New Roman"/>
        </w:rPr>
        <w:t>” scholarship programs, and pursuing a double major program, the ones to complete their main major programs successfully, but not their double major programs, shall be gra</w:t>
      </w:r>
      <w:r w:rsidRPr="006D714B">
        <w:rPr>
          <w:rFonts w:cs="Times New Roman"/>
        </w:rPr>
        <w:t xml:space="preserve">nted a scholarship for a single year, and required to pay tuition fees in further periods on the condition that they continue their education within the period specified in Paragraph 16, Article 7 </w:t>
      </w:r>
      <w:r w:rsidRPr="006D714B">
        <w:rPr>
          <w:rFonts w:cs="Times New Roman"/>
          <w:b/>
        </w:rPr>
        <w:t xml:space="preserve">(Senate Resolution dated 07.12.2021, no. 16) </w:t>
      </w:r>
      <w:r w:rsidRPr="006D714B">
        <w:rPr>
          <w:rFonts w:cs="Times New Roman"/>
        </w:rPr>
        <w:t>.</w:t>
      </w:r>
    </w:p>
    <w:p w:rsidR="005607D0" w:rsidRPr="006D714B" w:rsidRDefault="005607D0" w:rsidP="006D714B">
      <w:pPr>
        <w:tabs>
          <w:tab w:val="left" w:pos="284"/>
        </w:tabs>
        <w:ind w:right="-46"/>
        <w:jc w:val="both"/>
        <w:rPr>
          <w:rFonts w:ascii="Times New Roman" w:hAnsi="Times New Roman" w:cs="Times New Roman"/>
          <w:sz w:val="24"/>
          <w:szCs w:val="24"/>
        </w:rPr>
        <w:sectPr w:rsidR="005607D0" w:rsidRPr="006D714B">
          <w:pgSz w:w="11910" w:h="16840"/>
          <w:pgMar w:top="1340" w:right="1300" w:bottom="280" w:left="1300" w:header="720" w:footer="720" w:gutter="0"/>
          <w:cols w:space="720"/>
        </w:sectPr>
      </w:pPr>
    </w:p>
    <w:p w:rsidR="005607D0" w:rsidRPr="006D714B" w:rsidRDefault="006D714B" w:rsidP="006D714B">
      <w:pPr>
        <w:pStyle w:val="Balk1"/>
        <w:tabs>
          <w:tab w:val="left" w:pos="284"/>
        </w:tabs>
        <w:spacing w:before="93" w:line="272" w:lineRule="exact"/>
        <w:ind w:left="0" w:right="-46"/>
        <w:rPr>
          <w:rFonts w:cs="Times New Roman"/>
          <w:b w:val="0"/>
          <w:bCs w:val="0"/>
        </w:rPr>
      </w:pPr>
      <w:r w:rsidRPr="006D714B">
        <w:rPr>
          <w:rFonts w:cs="Times New Roman"/>
        </w:rPr>
        <w:lastRenderedPageBreak/>
        <w:t>Evaluation</w:t>
      </w:r>
    </w:p>
    <w:p w:rsidR="005607D0" w:rsidRPr="006D714B" w:rsidRDefault="006D714B" w:rsidP="006D714B">
      <w:pPr>
        <w:pStyle w:val="GvdeMetni"/>
        <w:tabs>
          <w:tab w:val="left" w:pos="284"/>
        </w:tabs>
        <w:ind w:left="0" w:right="-46" w:firstLine="710"/>
        <w:jc w:val="both"/>
        <w:rPr>
          <w:rFonts w:cs="Times New Roman"/>
        </w:rPr>
      </w:pPr>
      <w:r w:rsidRPr="006D714B">
        <w:rPr>
          <w:rFonts w:cs="Times New Roman"/>
          <w:b/>
        </w:rPr>
        <w:t>ARTICLE 11</w:t>
      </w:r>
      <w:r w:rsidRPr="006D714B">
        <w:rPr>
          <w:rFonts w:cs="Times New Roman"/>
        </w:rPr>
        <w:t xml:space="preserve"> - (1) Courses passed by students in their double major programs but not recognized in their main major programs are included in their transcripts and diploma supplements, but not included in CGPA.</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GvdeMetni"/>
        <w:tabs>
          <w:tab w:val="left" w:pos="284"/>
        </w:tabs>
        <w:ind w:left="0" w:right="-46" w:firstLine="710"/>
        <w:jc w:val="both"/>
        <w:rPr>
          <w:rFonts w:cs="Times New Roman"/>
        </w:rPr>
      </w:pPr>
      <w:r>
        <w:rPr>
          <w:rFonts w:cs="Times New Roman"/>
        </w:rPr>
        <w:t xml:space="preserve">(2) </w:t>
      </w:r>
      <w:r w:rsidRPr="006D714B">
        <w:rPr>
          <w:rFonts w:cs="Times New Roman"/>
          <w:b/>
        </w:rPr>
        <w:t>(Senate Resolution dated 05.02.2019, no. 2)</w:t>
      </w:r>
      <w:r w:rsidRPr="006D714B">
        <w:rPr>
          <w:rFonts w:cs="Times New Roman"/>
        </w:rPr>
        <w:t xml:space="preserve"> Students who are not registered in a minor program and exmatriculated from their double major program for any reason may register in a minor program derived from their double major programs, with the decision of </w:t>
      </w:r>
      <w:r w:rsidRPr="006D714B">
        <w:rPr>
          <w:rFonts w:cs="Times New Roman"/>
        </w:rPr>
        <w:t>the relevant executive board and upon their own request within the study period of their main major program. Students registered within the scope of this provision are subject to the Atılım University Directive on Minor Programs, and are given a Minor Prog</w:t>
      </w:r>
      <w:r w:rsidRPr="006D714B">
        <w:rPr>
          <w:rFonts w:cs="Times New Roman"/>
        </w:rPr>
        <w:t>ram Certificate on the condition that they successfully complete or meet all requirements to complete the program.</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bookmarkStart w:id="0" w:name="_GoBack"/>
      <w:bookmarkEnd w:id="0"/>
    </w:p>
    <w:p w:rsidR="005607D0" w:rsidRPr="006D714B" w:rsidRDefault="006D714B" w:rsidP="006D714B">
      <w:pPr>
        <w:pStyle w:val="Balk1"/>
        <w:tabs>
          <w:tab w:val="left" w:pos="284"/>
        </w:tabs>
        <w:spacing w:line="275" w:lineRule="exact"/>
        <w:ind w:left="0" w:right="-46"/>
        <w:rPr>
          <w:rFonts w:cs="Times New Roman"/>
          <w:b w:val="0"/>
          <w:bCs w:val="0"/>
        </w:rPr>
      </w:pPr>
      <w:r w:rsidRPr="006D714B">
        <w:rPr>
          <w:rFonts w:cs="Times New Roman"/>
        </w:rPr>
        <w:t>Repealed directive</w:t>
      </w:r>
    </w:p>
    <w:p w:rsidR="005607D0" w:rsidRPr="006D714B" w:rsidRDefault="006D714B" w:rsidP="006D714B">
      <w:pPr>
        <w:pStyle w:val="GvdeMetni"/>
        <w:tabs>
          <w:tab w:val="left" w:pos="284"/>
        </w:tabs>
        <w:ind w:left="0" w:right="-46"/>
        <w:jc w:val="both"/>
        <w:rPr>
          <w:rFonts w:cs="Times New Roman"/>
        </w:rPr>
      </w:pPr>
      <w:r w:rsidRPr="006D714B">
        <w:rPr>
          <w:rFonts w:cs="Times New Roman"/>
          <w:b/>
        </w:rPr>
        <w:t>ARTICLE 12</w:t>
      </w:r>
      <w:r w:rsidRPr="006D714B">
        <w:rPr>
          <w:rFonts w:cs="Times New Roman"/>
        </w:rPr>
        <w:t xml:space="preserve"> - (1) Atılım University Directive on Double Major Programs, accepted with the Senate Resolution dated 22.06.20</w:t>
      </w:r>
      <w:r w:rsidRPr="006D714B">
        <w:rPr>
          <w:rFonts w:cs="Times New Roman"/>
        </w:rPr>
        <w:t>10 and numbered 06, has been abolished.</w:t>
      </w:r>
    </w:p>
    <w:p w:rsidR="005607D0" w:rsidRPr="006D714B" w:rsidRDefault="005607D0" w:rsidP="006D714B">
      <w:pPr>
        <w:tabs>
          <w:tab w:val="left" w:pos="284"/>
        </w:tabs>
        <w:ind w:right="-46"/>
        <w:rPr>
          <w:rFonts w:ascii="Times New Roman" w:eastAsia="Times New Roman" w:hAnsi="Times New Roman" w:cs="Times New Roman"/>
          <w:sz w:val="24"/>
          <w:szCs w:val="24"/>
        </w:rPr>
      </w:pPr>
    </w:p>
    <w:p w:rsidR="005607D0" w:rsidRPr="006D714B" w:rsidRDefault="006D714B" w:rsidP="006D714B">
      <w:pPr>
        <w:pStyle w:val="GvdeMetni"/>
        <w:tabs>
          <w:tab w:val="left" w:pos="284"/>
        </w:tabs>
        <w:spacing w:line="242" w:lineRule="auto"/>
        <w:ind w:left="0" w:right="-46"/>
        <w:jc w:val="both"/>
        <w:rPr>
          <w:rFonts w:cs="Times New Roman"/>
        </w:rPr>
      </w:pPr>
      <w:r w:rsidRPr="006D714B">
        <w:rPr>
          <w:rFonts w:cs="Times New Roman"/>
          <w:b/>
        </w:rPr>
        <w:t>PROVISIONAL ARTICLE 1</w:t>
      </w:r>
      <w:r w:rsidRPr="006D714B">
        <w:rPr>
          <w:rFonts w:cs="Times New Roman"/>
        </w:rPr>
        <w:t xml:space="preserve"> - (1) Paragraph 2 of the Article 7 of this Directive shall not be applied to the students already</w:t>
      </w:r>
      <w:r w:rsidRPr="006D714B">
        <w:rPr>
          <w:rFonts w:cs="Times New Roman"/>
        </w:rPr>
        <w:t xml:space="preserve"> registered in a double major program on the effective date of this Directive.</w:t>
      </w:r>
    </w:p>
    <w:p w:rsidR="005607D0" w:rsidRPr="006D714B" w:rsidRDefault="005607D0" w:rsidP="006D714B">
      <w:pPr>
        <w:tabs>
          <w:tab w:val="left" w:pos="284"/>
        </w:tabs>
        <w:spacing w:before="2"/>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3" w:lineRule="exact"/>
        <w:ind w:left="0" w:right="-46"/>
        <w:rPr>
          <w:rFonts w:cs="Times New Roman"/>
          <w:b w:val="0"/>
          <w:bCs w:val="0"/>
        </w:rPr>
      </w:pPr>
      <w:r w:rsidRPr="006D714B">
        <w:rPr>
          <w:rFonts w:cs="Times New Roman"/>
        </w:rPr>
        <w:t>Effective Date</w:t>
      </w:r>
    </w:p>
    <w:p w:rsidR="005607D0" w:rsidRPr="006D714B" w:rsidRDefault="006D714B" w:rsidP="006D714B">
      <w:pPr>
        <w:pStyle w:val="GvdeMetni"/>
        <w:tabs>
          <w:tab w:val="left" w:pos="284"/>
        </w:tabs>
        <w:spacing w:line="273" w:lineRule="exact"/>
        <w:ind w:left="0" w:right="-46" w:firstLine="709"/>
        <w:rPr>
          <w:rFonts w:cs="Times New Roman"/>
        </w:rPr>
      </w:pPr>
      <w:r w:rsidRPr="006D714B">
        <w:rPr>
          <w:rFonts w:cs="Times New Roman"/>
          <w:b/>
        </w:rPr>
        <w:t>AR</w:t>
      </w:r>
      <w:r w:rsidRPr="006D714B">
        <w:rPr>
          <w:rFonts w:cs="Times New Roman"/>
          <w:b/>
        </w:rPr>
        <w:t>TICLE 13-</w:t>
      </w:r>
      <w:r w:rsidRPr="006D714B">
        <w:rPr>
          <w:rFonts w:cs="Times New Roman"/>
        </w:rPr>
        <w:t>(1) This Directive shall take effect after its approval by the Senate.</w:t>
      </w:r>
    </w:p>
    <w:p w:rsidR="005607D0" w:rsidRPr="006D714B" w:rsidRDefault="005607D0" w:rsidP="006D714B">
      <w:pPr>
        <w:tabs>
          <w:tab w:val="left" w:pos="284"/>
        </w:tabs>
        <w:spacing w:before="5"/>
        <w:ind w:right="-46"/>
        <w:rPr>
          <w:rFonts w:ascii="Times New Roman" w:eastAsia="Times New Roman" w:hAnsi="Times New Roman" w:cs="Times New Roman"/>
          <w:sz w:val="24"/>
          <w:szCs w:val="24"/>
        </w:rPr>
      </w:pPr>
    </w:p>
    <w:p w:rsidR="005607D0" w:rsidRPr="006D714B" w:rsidRDefault="006D714B" w:rsidP="006D714B">
      <w:pPr>
        <w:pStyle w:val="Balk1"/>
        <w:tabs>
          <w:tab w:val="left" w:pos="284"/>
        </w:tabs>
        <w:spacing w:line="275" w:lineRule="exact"/>
        <w:ind w:left="0" w:right="-46"/>
        <w:rPr>
          <w:rFonts w:cs="Times New Roman"/>
          <w:b w:val="0"/>
          <w:bCs w:val="0"/>
        </w:rPr>
      </w:pPr>
      <w:r w:rsidRPr="006D714B">
        <w:rPr>
          <w:rFonts w:cs="Times New Roman"/>
        </w:rPr>
        <w:t>Execution</w:t>
      </w:r>
    </w:p>
    <w:p w:rsidR="005607D0" w:rsidRPr="006D714B" w:rsidRDefault="006D714B" w:rsidP="006D714B">
      <w:pPr>
        <w:pStyle w:val="GvdeMetni"/>
        <w:tabs>
          <w:tab w:val="left" w:pos="284"/>
        </w:tabs>
        <w:spacing w:line="275" w:lineRule="exact"/>
        <w:ind w:left="0" w:right="-46" w:firstLine="709"/>
        <w:rPr>
          <w:rFonts w:cs="Times New Roman"/>
        </w:rPr>
      </w:pPr>
      <w:r w:rsidRPr="006D714B">
        <w:rPr>
          <w:rFonts w:cs="Times New Roman"/>
          <w:b/>
        </w:rPr>
        <w:t xml:space="preserve">ARTICLE 14 - </w:t>
      </w:r>
      <w:r w:rsidRPr="006D714B">
        <w:rPr>
          <w:rFonts w:cs="Times New Roman"/>
        </w:rPr>
        <w:t>(1) This Directive is executed by the President of Atılım University.</w:t>
      </w:r>
    </w:p>
    <w:sectPr w:rsidR="005607D0" w:rsidRPr="006D714B">
      <w:pgSz w:w="1191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696"/>
    <w:multiLevelType w:val="hybridMultilevel"/>
    <w:tmpl w:val="F656000E"/>
    <w:lvl w:ilvl="0" w:tplc="5BECC056">
      <w:start w:val="2"/>
      <w:numFmt w:val="decimal"/>
      <w:lvlText w:val="(%1)"/>
      <w:lvlJc w:val="left"/>
      <w:pPr>
        <w:ind w:left="116" w:hanging="432"/>
        <w:jc w:val="left"/>
      </w:pPr>
      <w:rPr>
        <w:rFonts w:ascii="Times New Roman" w:eastAsia="Times New Roman" w:hAnsi="Times New Roman" w:hint="default"/>
        <w:sz w:val="24"/>
        <w:szCs w:val="24"/>
      </w:rPr>
    </w:lvl>
    <w:lvl w:ilvl="1" w:tplc="3F224F9A">
      <w:start w:val="1"/>
      <w:numFmt w:val="bullet"/>
      <w:lvlText w:val="•"/>
      <w:lvlJc w:val="left"/>
      <w:pPr>
        <w:ind w:left="1038" w:hanging="432"/>
      </w:pPr>
      <w:rPr>
        <w:rFonts w:hint="default"/>
      </w:rPr>
    </w:lvl>
    <w:lvl w:ilvl="2" w:tplc="321A9FF2">
      <w:start w:val="1"/>
      <w:numFmt w:val="bullet"/>
      <w:lvlText w:val="•"/>
      <w:lvlJc w:val="left"/>
      <w:pPr>
        <w:ind w:left="1956" w:hanging="432"/>
      </w:pPr>
      <w:rPr>
        <w:rFonts w:hint="default"/>
      </w:rPr>
    </w:lvl>
    <w:lvl w:ilvl="3" w:tplc="7DD839FE">
      <w:start w:val="1"/>
      <w:numFmt w:val="bullet"/>
      <w:lvlText w:val="•"/>
      <w:lvlJc w:val="left"/>
      <w:pPr>
        <w:ind w:left="2875" w:hanging="432"/>
      </w:pPr>
      <w:rPr>
        <w:rFonts w:hint="default"/>
      </w:rPr>
    </w:lvl>
    <w:lvl w:ilvl="4" w:tplc="57024A3A">
      <w:start w:val="1"/>
      <w:numFmt w:val="bullet"/>
      <w:lvlText w:val="•"/>
      <w:lvlJc w:val="left"/>
      <w:pPr>
        <w:ind w:left="3793" w:hanging="432"/>
      </w:pPr>
      <w:rPr>
        <w:rFonts w:hint="default"/>
      </w:rPr>
    </w:lvl>
    <w:lvl w:ilvl="5" w:tplc="E9005CC8">
      <w:start w:val="1"/>
      <w:numFmt w:val="bullet"/>
      <w:lvlText w:val="•"/>
      <w:lvlJc w:val="left"/>
      <w:pPr>
        <w:ind w:left="4712" w:hanging="432"/>
      </w:pPr>
      <w:rPr>
        <w:rFonts w:hint="default"/>
      </w:rPr>
    </w:lvl>
    <w:lvl w:ilvl="6" w:tplc="D39450F0">
      <w:start w:val="1"/>
      <w:numFmt w:val="bullet"/>
      <w:lvlText w:val="•"/>
      <w:lvlJc w:val="left"/>
      <w:pPr>
        <w:ind w:left="5630" w:hanging="432"/>
      </w:pPr>
      <w:rPr>
        <w:rFonts w:hint="default"/>
      </w:rPr>
    </w:lvl>
    <w:lvl w:ilvl="7" w:tplc="59E04DCA">
      <w:start w:val="1"/>
      <w:numFmt w:val="bullet"/>
      <w:lvlText w:val="•"/>
      <w:lvlJc w:val="left"/>
      <w:pPr>
        <w:ind w:left="6548" w:hanging="432"/>
      </w:pPr>
      <w:rPr>
        <w:rFonts w:hint="default"/>
      </w:rPr>
    </w:lvl>
    <w:lvl w:ilvl="8" w:tplc="8E4EE9B6">
      <w:start w:val="1"/>
      <w:numFmt w:val="bullet"/>
      <w:lvlText w:val="•"/>
      <w:lvlJc w:val="left"/>
      <w:pPr>
        <w:ind w:left="7467" w:hanging="432"/>
      </w:pPr>
      <w:rPr>
        <w:rFonts w:hint="default"/>
      </w:rPr>
    </w:lvl>
  </w:abstractNum>
  <w:abstractNum w:abstractNumId="1" w15:restartNumberingAfterBreak="0">
    <w:nsid w:val="535B016E"/>
    <w:multiLevelType w:val="hybridMultilevel"/>
    <w:tmpl w:val="35462716"/>
    <w:lvl w:ilvl="0" w:tplc="E3781D36">
      <w:start w:val="60"/>
      <w:numFmt w:val="decimal"/>
      <w:lvlText w:val="(%1)"/>
      <w:lvlJc w:val="left"/>
      <w:pPr>
        <w:ind w:left="116" w:hanging="533"/>
        <w:jc w:val="left"/>
      </w:pPr>
      <w:rPr>
        <w:rFonts w:ascii="Times New Roman" w:eastAsia="Times New Roman" w:hAnsi="Times New Roman" w:hint="default"/>
        <w:sz w:val="24"/>
        <w:szCs w:val="24"/>
      </w:rPr>
    </w:lvl>
    <w:lvl w:ilvl="1" w:tplc="23942A6A">
      <w:start w:val="2"/>
      <w:numFmt w:val="decimal"/>
      <w:lvlText w:val="(%2)"/>
      <w:lvlJc w:val="left"/>
      <w:pPr>
        <w:ind w:left="116" w:hanging="432"/>
        <w:jc w:val="left"/>
      </w:pPr>
      <w:rPr>
        <w:rFonts w:ascii="Times New Roman" w:eastAsia="Times New Roman" w:hAnsi="Times New Roman" w:hint="default"/>
        <w:sz w:val="24"/>
        <w:szCs w:val="24"/>
      </w:rPr>
    </w:lvl>
    <w:lvl w:ilvl="2" w:tplc="7AEAFB54">
      <w:start w:val="1"/>
      <w:numFmt w:val="bullet"/>
      <w:lvlText w:val="•"/>
      <w:lvlJc w:val="left"/>
      <w:pPr>
        <w:ind w:left="1956" w:hanging="432"/>
      </w:pPr>
      <w:rPr>
        <w:rFonts w:hint="default"/>
      </w:rPr>
    </w:lvl>
    <w:lvl w:ilvl="3" w:tplc="7B2A9C2C">
      <w:start w:val="1"/>
      <w:numFmt w:val="bullet"/>
      <w:lvlText w:val="•"/>
      <w:lvlJc w:val="left"/>
      <w:pPr>
        <w:ind w:left="2875" w:hanging="432"/>
      </w:pPr>
      <w:rPr>
        <w:rFonts w:hint="default"/>
      </w:rPr>
    </w:lvl>
    <w:lvl w:ilvl="4" w:tplc="F3EC5864">
      <w:start w:val="1"/>
      <w:numFmt w:val="bullet"/>
      <w:lvlText w:val="•"/>
      <w:lvlJc w:val="left"/>
      <w:pPr>
        <w:ind w:left="3793" w:hanging="432"/>
      </w:pPr>
      <w:rPr>
        <w:rFonts w:hint="default"/>
      </w:rPr>
    </w:lvl>
    <w:lvl w:ilvl="5" w:tplc="786894D8">
      <w:start w:val="1"/>
      <w:numFmt w:val="bullet"/>
      <w:lvlText w:val="•"/>
      <w:lvlJc w:val="left"/>
      <w:pPr>
        <w:ind w:left="4712" w:hanging="432"/>
      </w:pPr>
      <w:rPr>
        <w:rFonts w:hint="default"/>
      </w:rPr>
    </w:lvl>
    <w:lvl w:ilvl="6" w:tplc="AD1EEFAC">
      <w:start w:val="1"/>
      <w:numFmt w:val="bullet"/>
      <w:lvlText w:val="•"/>
      <w:lvlJc w:val="left"/>
      <w:pPr>
        <w:ind w:left="5630" w:hanging="432"/>
      </w:pPr>
      <w:rPr>
        <w:rFonts w:hint="default"/>
      </w:rPr>
    </w:lvl>
    <w:lvl w:ilvl="7" w:tplc="2B360272">
      <w:start w:val="1"/>
      <w:numFmt w:val="bullet"/>
      <w:lvlText w:val="•"/>
      <w:lvlJc w:val="left"/>
      <w:pPr>
        <w:ind w:left="6548" w:hanging="432"/>
      </w:pPr>
      <w:rPr>
        <w:rFonts w:hint="default"/>
      </w:rPr>
    </w:lvl>
    <w:lvl w:ilvl="8" w:tplc="4AA8839E">
      <w:start w:val="1"/>
      <w:numFmt w:val="bullet"/>
      <w:lvlText w:val="•"/>
      <w:lvlJc w:val="left"/>
      <w:pPr>
        <w:ind w:left="7467" w:hanging="432"/>
      </w:pPr>
      <w:rPr>
        <w:rFonts w:hint="default"/>
      </w:rPr>
    </w:lvl>
  </w:abstractNum>
  <w:abstractNum w:abstractNumId="2" w15:restartNumberingAfterBreak="0">
    <w:nsid w:val="58784652"/>
    <w:multiLevelType w:val="hybridMultilevel"/>
    <w:tmpl w:val="F1921A9E"/>
    <w:lvl w:ilvl="0" w:tplc="7C2C28A8">
      <w:start w:val="2"/>
      <w:numFmt w:val="decimal"/>
      <w:lvlText w:val="(%1)"/>
      <w:lvlJc w:val="left"/>
      <w:pPr>
        <w:ind w:left="116" w:hanging="356"/>
        <w:jc w:val="left"/>
      </w:pPr>
      <w:rPr>
        <w:rFonts w:ascii="Times New Roman" w:eastAsia="Times New Roman" w:hAnsi="Times New Roman" w:hint="default"/>
        <w:sz w:val="24"/>
        <w:szCs w:val="24"/>
      </w:rPr>
    </w:lvl>
    <w:lvl w:ilvl="1" w:tplc="1E6C5E72">
      <w:start w:val="1"/>
      <w:numFmt w:val="bullet"/>
      <w:lvlText w:val="•"/>
      <w:lvlJc w:val="left"/>
      <w:pPr>
        <w:ind w:left="1038" w:hanging="356"/>
      </w:pPr>
      <w:rPr>
        <w:rFonts w:hint="default"/>
      </w:rPr>
    </w:lvl>
    <w:lvl w:ilvl="2" w:tplc="D338B4EE">
      <w:start w:val="1"/>
      <w:numFmt w:val="bullet"/>
      <w:lvlText w:val="•"/>
      <w:lvlJc w:val="left"/>
      <w:pPr>
        <w:ind w:left="1956" w:hanging="356"/>
      </w:pPr>
      <w:rPr>
        <w:rFonts w:hint="default"/>
      </w:rPr>
    </w:lvl>
    <w:lvl w:ilvl="3" w:tplc="7B9A5F9C">
      <w:start w:val="1"/>
      <w:numFmt w:val="bullet"/>
      <w:lvlText w:val="•"/>
      <w:lvlJc w:val="left"/>
      <w:pPr>
        <w:ind w:left="2875" w:hanging="356"/>
      </w:pPr>
      <w:rPr>
        <w:rFonts w:hint="default"/>
      </w:rPr>
    </w:lvl>
    <w:lvl w:ilvl="4" w:tplc="39E43486">
      <w:start w:val="1"/>
      <w:numFmt w:val="bullet"/>
      <w:lvlText w:val="•"/>
      <w:lvlJc w:val="left"/>
      <w:pPr>
        <w:ind w:left="3793" w:hanging="356"/>
      </w:pPr>
      <w:rPr>
        <w:rFonts w:hint="default"/>
      </w:rPr>
    </w:lvl>
    <w:lvl w:ilvl="5" w:tplc="7096C13C">
      <w:start w:val="1"/>
      <w:numFmt w:val="bullet"/>
      <w:lvlText w:val="•"/>
      <w:lvlJc w:val="left"/>
      <w:pPr>
        <w:ind w:left="4712" w:hanging="356"/>
      </w:pPr>
      <w:rPr>
        <w:rFonts w:hint="default"/>
      </w:rPr>
    </w:lvl>
    <w:lvl w:ilvl="6" w:tplc="CDF6E1CE">
      <w:start w:val="1"/>
      <w:numFmt w:val="bullet"/>
      <w:lvlText w:val="•"/>
      <w:lvlJc w:val="left"/>
      <w:pPr>
        <w:ind w:left="5630" w:hanging="356"/>
      </w:pPr>
      <w:rPr>
        <w:rFonts w:hint="default"/>
      </w:rPr>
    </w:lvl>
    <w:lvl w:ilvl="7" w:tplc="1B98F548">
      <w:start w:val="1"/>
      <w:numFmt w:val="bullet"/>
      <w:lvlText w:val="•"/>
      <w:lvlJc w:val="left"/>
      <w:pPr>
        <w:ind w:left="6548" w:hanging="356"/>
      </w:pPr>
      <w:rPr>
        <w:rFonts w:hint="default"/>
      </w:rPr>
    </w:lvl>
    <w:lvl w:ilvl="8" w:tplc="881AF1B4">
      <w:start w:val="1"/>
      <w:numFmt w:val="bullet"/>
      <w:lvlText w:val="•"/>
      <w:lvlJc w:val="left"/>
      <w:pPr>
        <w:ind w:left="7467" w:hanging="35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607D0"/>
    <w:rsid w:val="005607D0"/>
    <w:rsid w:val="006D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A6E1"/>
  <w15:docId w15:val="{E4EAF3F4-14BD-4A64-B4DF-F94F4DD8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822"/>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70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1389</Words>
  <Characters>7918</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cp:lastModifiedBy>
  <cp:revision>2</cp:revision>
  <dcterms:created xsi:type="dcterms:W3CDTF">2023-11-02T13:05:00Z</dcterms:created>
  <dcterms:modified xsi:type="dcterms:W3CDTF">2023-11-02T10:17:00Z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2023-11-02T00:00:00Z</vt:filetime>
  </property>
</Properties>
</file>