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00" w:rsidRDefault="00FE2DC7" w:rsidP="00F52000">
      <w:pPr>
        <w:pStyle w:val="Balk1"/>
        <w:tabs>
          <w:tab w:val="left" w:pos="426"/>
        </w:tabs>
        <w:ind w:left="0" w:right="-46"/>
        <w:jc w:val="both"/>
        <w:rPr>
          <w:rFonts w:cs="Times New Roman"/>
        </w:rPr>
      </w:pPr>
      <w:r w:rsidRPr="00F52000">
        <w:rPr>
          <w:rFonts w:cs="Times New Roman"/>
        </w:rPr>
        <w:t xml:space="preserve">(Board of Trustees Resolution dated 09.01.2020, no. 2020/1) </w:t>
      </w:r>
    </w:p>
    <w:p w:rsidR="00F52000" w:rsidRDefault="00FE2DC7" w:rsidP="00F52000">
      <w:pPr>
        <w:pStyle w:val="Balk1"/>
        <w:tabs>
          <w:tab w:val="left" w:pos="426"/>
        </w:tabs>
        <w:ind w:left="0" w:right="-46"/>
        <w:jc w:val="both"/>
        <w:rPr>
          <w:rFonts w:cs="Times New Roman"/>
        </w:rPr>
      </w:pPr>
      <w:r w:rsidRPr="00F52000">
        <w:rPr>
          <w:rFonts w:cs="Times New Roman"/>
        </w:rPr>
        <w:t>(Board of Trustees Resolution dated 01.06.2018, no. 2018/15)</w:t>
      </w: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(Board of Trustees Resolution dated 24.08.2017, no. 2017/23)</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F52000" w:rsidRDefault="00FE2DC7" w:rsidP="00F52000">
      <w:pPr>
        <w:tabs>
          <w:tab w:val="left" w:pos="426"/>
        </w:tabs>
        <w:ind w:right="-46"/>
        <w:jc w:val="center"/>
        <w:rPr>
          <w:rFonts w:ascii="Times New Roman" w:hAnsi="Times New Roman" w:cs="Times New Roman"/>
          <w:b/>
          <w:sz w:val="24"/>
          <w:szCs w:val="24"/>
        </w:rPr>
      </w:pPr>
      <w:r w:rsidRPr="00F52000">
        <w:rPr>
          <w:rFonts w:ascii="Times New Roman" w:hAnsi="Times New Roman" w:cs="Times New Roman"/>
          <w:b/>
          <w:sz w:val="24"/>
          <w:szCs w:val="24"/>
        </w:rPr>
        <w:t>ATILIM UNIVERSITY DIRECTIVE ON POST-GRADUATE SCHOLARSHIPS</w:t>
      </w:r>
    </w:p>
    <w:p w:rsidR="00F52000" w:rsidRDefault="00F52000" w:rsidP="00F52000">
      <w:pPr>
        <w:tabs>
          <w:tab w:val="left" w:pos="426"/>
        </w:tabs>
        <w:ind w:right="-46"/>
        <w:jc w:val="center"/>
        <w:rPr>
          <w:rFonts w:ascii="Times New Roman" w:hAnsi="Times New Roman" w:cs="Times New Roman"/>
          <w:b/>
          <w:sz w:val="24"/>
          <w:szCs w:val="24"/>
        </w:rPr>
      </w:pPr>
    </w:p>
    <w:p w:rsidR="005377AE" w:rsidRPr="00F52000" w:rsidRDefault="00FE2DC7" w:rsidP="00F52000">
      <w:pPr>
        <w:tabs>
          <w:tab w:val="left" w:pos="426"/>
        </w:tabs>
        <w:ind w:right="-46"/>
        <w:jc w:val="center"/>
        <w:rPr>
          <w:rFonts w:ascii="Times New Roman" w:eastAsia="Times New Roman" w:hAnsi="Times New Roman" w:cs="Times New Roman"/>
          <w:sz w:val="24"/>
          <w:szCs w:val="24"/>
        </w:rPr>
      </w:pPr>
      <w:r w:rsidRPr="00F52000">
        <w:rPr>
          <w:rFonts w:ascii="Times New Roman" w:hAnsi="Times New Roman" w:cs="Times New Roman"/>
          <w:b/>
          <w:sz w:val="24"/>
          <w:szCs w:val="24"/>
        </w:rPr>
        <w:t>SECTION ONE</w:t>
      </w:r>
    </w:p>
    <w:p w:rsidR="005377AE" w:rsidRPr="00F52000" w:rsidRDefault="00FE2DC7" w:rsidP="00F52000">
      <w:pPr>
        <w:tabs>
          <w:tab w:val="left" w:pos="426"/>
        </w:tabs>
        <w:ind w:right="-46"/>
        <w:jc w:val="center"/>
        <w:rPr>
          <w:rFonts w:ascii="Times New Roman" w:eastAsia="Times New Roman" w:hAnsi="Times New Roman" w:cs="Times New Roman"/>
          <w:sz w:val="24"/>
          <w:szCs w:val="24"/>
        </w:rPr>
      </w:pPr>
      <w:r w:rsidRPr="00F52000">
        <w:rPr>
          <w:rFonts w:ascii="Times New Roman" w:hAnsi="Times New Roman" w:cs="Times New Roman"/>
          <w:b/>
          <w:sz w:val="24"/>
          <w:szCs w:val="24"/>
        </w:rPr>
        <w:t>Purpose-Scope-Basis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tabs>
          <w:tab w:val="left" w:pos="426"/>
        </w:tabs>
        <w:ind w:right="-46"/>
        <w:jc w:val="both"/>
        <w:rPr>
          <w:rFonts w:ascii="Times New Roman" w:eastAsia="Times New Roman" w:hAnsi="Times New Roman" w:cs="Times New Roman"/>
          <w:sz w:val="24"/>
          <w:szCs w:val="24"/>
        </w:rPr>
      </w:pPr>
      <w:r w:rsidRPr="00F52000">
        <w:rPr>
          <w:rFonts w:ascii="Times New Roman" w:hAnsi="Times New Roman" w:cs="Times New Roman"/>
          <w:b/>
          <w:sz w:val="24"/>
          <w:szCs w:val="24"/>
        </w:rPr>
        <w:t>Purpose</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b/>
        </w:rPr>
        <w:t>ARTICLE 1 -</w:t>
      </w:r>
      <w:r w:rsidRPr="00F52000">
        <w:rPr>
          <w:rFonts w:cs="Times New Roman"/>
        </w:rPr>
        <w:t xml:space="preserve"> The purpose of this Directive is to determine the procedures and principles regarding the granting of scholarships to students enrolled in graduate degree programs at Atılım University, as well as the continuation and the termination of these scholarships.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Scope</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b/>
        </w:rPr>
        <w:t>ARTICLE 2 -</w:t>
      </w:r>
      <w:r w:rsidRPr="00F52000">
        <w:rPr>
          <w:rFonts w:cs="Times New Roman"/>
        </w:rPr>
        <w:t xml:space="preserve"> This Directive covers the conditions under which scholarships will be granted to students who are accepted and enrolled in graduate degree programs at Atılım University, as well as the conditions for their continuity, and the rights and obligations regarding their termination.</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Basis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b/>
        </w:rPr>
        <w:t>ARTICLE 3 -</w:t>
      </w:r>
      <w:r w:rsidRPr="00F52000">
        <w:rPr>
          <w:rFonts w:cs="Times New Roman"/>
        </w:rPr>
        <w:t xml:space="preserve"> This Directive has been prepared based on the provisions of Regulations on Graduate Degree Education, prepared based on the provision of Article 65 of Higher Education Law No. 2547, and Atılım University Regulations on Graduate Degree Education and Examination.</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center"/>
        <w:rPr>
          <w:rFonts w:cs="Times New Roman"/>
          <w:b w:val="0"/>
          <w:bCs w:val="0"/>
        </w:rPr>
      </w:pPr>
      <w:r w:rsidRPr="00F52000">
        <w:rPr>
          <w:rFonts w:cs="Times New Roman"/>
        </w:rPr>
        <w:t>SECTION TWO</w:t>
      </w:r>
    </w:p>
    <w:p w:rsidR="005377AE" w:rsidRPr="00F52000" w:rsidRDefault="00FE2DC7" w:rsidP="00F52000">
      <w:pPr>
        <w:tabs>
          <w:tab w:val="left" w:pos="426"/>
        </w:tabs>
        <w:ind w:right="-46"/>
        <w:jc w:val="center"/>
        <w:rPr>
          <w:rFonts w:ascii="Times New Roman" w:eastAsia="Times New Roman" w:hAnsi="Times New Roman" w:cs="Times New Roman"/>
          <w:sz w:val="24"/>
          <w:szCs w:val="24"/>
        </w:rPr>
      </w:pPr>
      <w:r w:rsidRPr="00F52000">
        <w:rPr>
          <w:rFonts w:ascii="Times New Roman" w:hAnsi="Times New Roman" w:cs="Times New Roman"/>
          <w:b/>
          <w:sz w:val="24"/>
          <w:szCs w:val="24"/>
        </w:rPr>
        <w:t>Definitions - Tuition Fee Exemptions - Scholarships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tabs>
          <w:tab w:val="left" w:pos="426"/>
        </w:tabs>
        <w:ind w:right="-46"/>
        <w:jc w:val="both"/>
        <w:rPr>
          <w:rFonts w:ascii="Times New Roman" w:eastAsia="Times New Roman" w:hAnsi="Times New Roman" w:cs="Times New Roman"/>
          <w:sz w:val="24"/>
          <w:szCs w:val="24"/>
        </w:rPr>
      </w:pPr>
      <w:r w:rsidRPr="00F52000">
        <w:rPr>
          <w:rFonts w:ascii="Times New Roman" w:hAnsi="Times New Roman" w:cs="Times New Roman"/>
          <w:b/>
          <w:sz w:val="24"/>
          <w:szCs w:val="24"/>
        </w:rPr>
        <w:t>Definitions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tabs>
          <w:tab w:val="left" w:pos="426"/>
        </w:tabs>
        <w:ind w:right="-46"/>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ARTICLE 4- </w:t>
      </w:r>
      <w:r w:rsidRPr="00F52000">
        <w:rPr>
          <w:rFonts w:ascii="Times New Roman" w:hAnsi="Times New Roman" w:cs="Times New Roman"/>
          <w:sz w:val="24"/>
          <w:szCs w:val="24"/>
        </w:rPr>
        <w:t>The definitions for this Directive are as follows: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Scholarship Commission: </w:t>
      </w:r>
      <w:r w:rsidRPr="00F52000">
        <w:rPr>
          <w:rFonts w:ascii="Times New Roman" w:hAnsi="Times New Roman" w:cs="Times New Roman"/>
          <w:sz w:val="24"/>
          <w:szCs w:val="24"/>
        </w:rPr>
        <w:t>The commission consisting of the President, the Vice-President, and the Graduate School Director, or the International Center Director for international students, that is authorized to determine the scholarship criteria, identify the students to be awarded scholarships, and recommend them to the Chairperson of the Board of Trustees,</w:t>
      </w:r>
    </w:p>
    <w:p w:rsidR="005377AE" w:rsidRPr="00F52000" w:rsidRDefault="00FE2DC7" w:rsidP="00F52000">
      <w:pPr>
        <w:pStyle w:val="ListeParagraf"/>
        <w:numPr>
          <w:ilvl w:val="0"/>
          <w:numId w:val="3"/>
        </w:numPr>
        <w:tabs>
          <w:tab w:val="left" w:pos="426"/>
          <w:tab w:val="left" w:pos="5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Doctorate degree program: </w:t>
      </w:r>
      <w:r w:rsidRPr="00F52000">
        <w:rPr>
          <w:rFonts w:ascii="Times New Roman" w:hAnsi="Times New Roman" w:cs="Times New Roman"/>
          <w:sz w:val="24"/>
          <w:szCs w:val="24"/>
        </w:rPr>
        <w:t>Doctorate degree programs under Atılım University Graduate Schools of Natural and Applied Sciences, and Social Sciences; provided in accordance with the provisions of Atılım University Regulations on Graduate Degree Education and Examination,</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Doctorate degree students: </w:t>
      </w:r>
      <w:r w:rsidRPr="00F52000">
        <w:rPr>
          <w:rFonts w:ascii="Times New Roman" w:hAnsi="Times New Roman" w:cs="Times New Roman"/>
          <w:sz w:val="24"/>
          <w:szCs w:val="24"/>
        </w:rPr>
        <w:t>Students who are admitted and enrolled in the Doctorate Degree Programs under the Graduate Schools of Natural and Applied Sciences, and Social Sciences, of Atılım University,</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8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Doctorate degree tuition fees: </w:t>
      </w:r>
      <w:r w:rsidRPr="00F52000">
        <w:rPr>
          <w:rFonts w:ascii="Times New Roman" w:hAnsi="Times New Roman" w:cs="Times New Roman"/>
          <w:sz w:val="24"/>
          <w:szCs w:val="24"/>
        </w:rPr>
        <w:t>The fee that doctorate degree students are required to pay to pursue their doctorate degree programs, as determined by the Board of Trustees of Atılım University,</w:t>
      </w:r>
    </w:p>
    <w:p w:rsidR="005377AE" w:rsidRDefault="005377AE" w:rsidP="00F52000">
      <w:pPr>
        <w:tabs>
          <w:tab w:val="left" w:pos="426"/>
        </w:tabs>
        <w:ind w:right="-46"/>
        <w:jc w:val="both"/>
        <w:rPr>
          <w:rFonts w:ascii="Times New Roman" w:eastAsia="Times New Roman" w:hAnsi="Times New Roman" w:cs="Times New Roman"/>
          <w:sz w:val="24"/>
          <w:szCs w:val="24"/>
        </w:rPr>
      </w:pPr>
    </w:p>
    <w:p w:rsidR="00F52000" w:rsidRDefault="00F52000" w:rsidP="00F52000">
      <w:pPr>
        <w:tabs>
          <w:tab w:val="left" w:pos="426"/>
        </w:tabs>
        <w:ind w:right="-46"/>
        <w:jc w:val="both"/>
        <w:rPr>
          <w:rFonts w:ascii="Times New Roman" w:eastAsia="Times New Roman" w:hAnsi="Times New Roman" w:cs="Times New Roman"/>
          <w:sz w:val="24"/>
          <w:szCs w:val="24"/>
        </w:rPr>
      </w:pPr>
    </w:p>
    <w:p w:rsidR="00F52000" w:rsidRDefault="00F52000" w:rsidP="00F52000">
      <w:pPr>
        <w:tabs>
          <w:tab w:val="left" w:pos="426"/>
        </w:tabs>
        <w:ind w:right="-46"/>
        <w:jc w:val="both"/>
        <w:rPr>
          <w:rFonts w:ascii="Times New Roman" w:eastAsia="Times New Roman" w:hAnsi="Times New Roman" w:cs="Times New Roman"/>
          <w:sz w:val="24"/>
          <w:szCs w:val="24"/>
        </w:rPr>
      </w:pPr>
    </w:p>
    <w:p w:rsidR="00F52000" w:rsidRPr="00F52000" w:rsidRDefault="00F52000" w:rsidP="00F52000">
      <w:pPr>
        <w:tabs>
          <w:tab w:val="left" w:pos="426"/>
        </w:tabs>
        <w:ind w:right="-46"/>
        <w:jc w:val="both"/>
        <w:rPr>
          <w:rFonts w:ascii="Times New Roman" w:eastAsia="Times New Roman" w:hAnsi="Times New Roman" w:cs="Times New Roman"/>
          <w:sz w:val="24"/>
          <w:szCs w:val="24"/>
        </w:rPr>
      </w:pPr>
    </w:p>
    <w:p w:rsidR="00F52000" w:rsidRPr="00F52000" w:rsidRDefault="00FE2DC7" w:rsidP="00F52000">
      <w:pPr>
        <w:pStyle w:val="ListeParagraf"/>
        <w:numPr>
          <w:ilvl w:val="0"/>
          <w:numId w:val="3"/>
        </w:numPr>
        <w:tabs>
          <w:tab w:val="left" w:pos="426"/>
          <w:tab w:val="left" w:pos="5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lastRenderedPageBreak/>
        <w:t xml:space="preserve">Thesis graduate degree programs: </w:t>
      </w:r>
      <w:r w:rsidRPr="00F52000">
        <w:rPr>
          <w:rFonts w:ascii="Times New Roman" w:hAnsi="Times New Roman" w:cs="Times New Roman"/>
          <w:sz w:val="24"/>
          <w:szCs w:val="24"/>
        </w:rPr>
        <w:t>Thesis graduate degree programs under Atılım University Graduate Schools of Natural and Applied Sciences, and Social Sciences; provided in accordance with the provisions of Atılım University Regulations on Graduate Degree Education and Examination,</w:t>
      </w:r>
    </w:p>
    <w:p w:rsidR="00F52000" w:rsidRPr="00F52000" w:rsidRDefault="00F52000" w:rsidP="00F52000">
      <w:pPr>
        <w:pStyle w:val="ListeParagraf"/>
        <w:tabs>
          <w:tab w:val="left" w:pos="426"/>
          <w:tab w:val="left" w:pos="568"/>
        </w:tabs>
        <w:ind w:right="-46"/>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Thesis graduate degree students: </w:t>
      </w:r>
      <w:r w:rsidRPr="00F52000">
        <w:rPr>
          <w:rFonts w:ascii="Times New Roman" w:hAnsi="Times New Roman" w:cs="Times New Roman"/>
          <w:sz w:val="24"/>
          <w:szCs w:val="24"/>
        </w:rPr>
        <w:t>Students who are admitted and enrolled in the Thesis Graduate Degree Programs under the Graduate Schools of Natural and Applied Sciences, and Social Sciences, of Atılım University,</w:t>
      </w:r>
    </w:p>
    <w:p w:rsidR="00F52000" w:rsidRPr="00F52000" w:rsidRDefault="00F52000" w:rsidP="00F52000">
      <w:pPr>
        <w:pStyle w:val="ListeParagraf"/>
        <w:tabs>
          <w:tab w:val="left" w:pos="426"/>
          <w:tab w:val="left" w:pos="568"/>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8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 xml:space="preserve">Thesis graduate degree tuition fees: </w:t>
      </w:r>
      <w:r w:rsidRPr="00F52000">
        <w:rPr>
          <w:rFonts w:ascii="Times New Roman" w:hAnsi="Times New Roman" w:cs="Times New Roman"/>
          <w:sz w:val="24"/>
          <w:szCs w:val="24"/>
        </w:rPr>
        <w:t>The fee that thesis graduate degree students are required to pay to pursue their thesis graduate degree programs, as determined by the Board of Trustees of Atılım University,</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8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Doctorate Thesis Advisor:</w:t>
      </w:r>
      <w:r w:rsidRPr="00F52000">
        <w:rPr>
          <w:rFonts w:ascii="Times New Roman" w:hAnsi="Times New Roman" w:cs="Times New Roman"/>
          <w:sz w:val="24"/>
          <w:szCs w:val="24"/>
        </w:rPr>
        <w:t xml:space="preserve"> The assistant professor authorized to create doctorate theses,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3"/>
        </w:numPr>
        <w:tabs>
          <w:tab w:val="left" w:pos="426"/>
          <w:tab w:val="left" w:pos="58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Graduate Degree Thesis Advisor:</w:t>
      </w:r>
      <w:r w:rsidRPr="00F52000">
        <w:rPr>
          <w:rFonts w:ascii="Times New Roman" w:hAnsi="Times New Roman" w:cs="Times New Roman"/>
          <w:sz w:val="24"/>
          <w:szCs w:val="24"/>
        </w:rPr>
        <w:t xml:space="preserve"> The assistant professor authorized to create graduate degree theses.</w:t>
      </w:r>
    </w:p>
    <w:p w:rsidR="005377AE" w:rsidRPr="00F52000" w:rsidRDefault="005377AE" w:rsidP="00F52000">
      <w:pPr>
        <w:pStyle w:val="GvdeMetni"/>
        <w:tabs>
          <w:tab w:val="left" w:pos="426"/>
        </w:tabs>
        <w:ind w:left="0" w:right="-46"/>
        <w:jc w:val="both"/>
        <w:rPr>
          <w:rFonts w:cs="Times New Roman"/>
        </w:rPr>
      </w:pP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Tuition Fee Scholarship</w:t>
      </w:r>
      <w:r w:rsidR="00F52000">
        <w:rPr>
          <w:rFonts w:cs="Times New Roman"/>
        </w:rPr>
        <w:t>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tabs>
          <w:tab w:val="left" w:pos="426"/>
        </w:tabs>
        <w:ind w:right="-46"/>
        <w:jc w:val="both"/>
        <w:rPr>
          <w:rFonts w:ascii="Times New Roman" w:eastAsia="Times New Roman" w:hAnsi="Times New Roman" w:cs="Times New Roman"/>
          <w:sz w:val="24"/>
          <w:szCs w:val="24"/>
        </w:rPr>
      </w:pPr>
      <w:r w:rsidRPr="00F52000">
        <w:rPr>
          <w:rFonts w:ascii="Times New Roman" w:hAnsi="Times New Roman" w:cs="Times New Roman"/>
          <w:b/>
          <w:sz w:val="24"/>
          <w:szCs w:val="24"/>
        </w:rPr>
        <w:t>ARTICLE 5 -</w:t>
      </w:r>
      <w:r w:rsidRPr="00F52000">
        <w:rPr>
          <w:rFonts w:ascii="Times New Roman" w:hAnsi="Times New Roman" w:cs="Times New Roman"/>
          <w:sz w:val="24"/>
          <w:szCs w:val="24"/>
        </w:rPr>
        <w:t xml:space="preserve"> This is a scholarship </w:t>
      </w:r>
      <w:r w:rsidR="00F52000">
        <w:rPr>
          <w:rFonts w:ascii="Times New Roman" w:hAnsi="Times New Roman" w:cs="Times New Roman"/>
          <w:sz w:val="24"/>
          <w:szCs w:val="24"/>
        </w:rPr>
        <w:t>granted by Atılım University, to:</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2"/>
        </w:numPr>
        <w:tabs>
          <w:tab w:val="left" w:pos="426"/>
          <w:tab w:val="left" w:pos="861"/>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students who are eligible to become thesis graduate degree students at the Graduate Schools of Natural and Applied Sciences, and Social Sciences; having completed their undergraduate degree program with outstanding success,</w:t>
      </w:r>
      <w:r w:rsidR="00F52000">
        <w:rPr>
          <w:rFonts w:ascii="Times New Roman" w:hAnsi="Times New Roman" w:cs="Times New Roman"/>
          <w:sz w:val="24"/>
          <w:szCs w:val="24"/>
        </w:rPr>
        <w:t xml:space="preserve"> and</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2"/>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students who are eligible to be doctorate degree students at the Graduate Schools of Natural and Applied Sciences, and Social Sciences; having completed their undergraduate and graduate degree programs with outstanding success,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rPr>
        <w:t>upon the recommendation of the Scholarship Commission, and the approval of the Board of Trustees, within the framework of the procedures and principles in this Directive, and constitutes certain exemptions in tuition fees.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Tuition Fee Scholarship conditions, Duration, and Scope</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Default="00FE2DC7" w:rsidP="00F52000">
      <w:pPr>
        <w:pStyle w:val="GvdeMetni"/>
        <w:tabs>
          <w:tab w:val="left" w:pos="426"/>
        </w:tabs>
        <w:ind w:left="0" w:right="-46"/>
        <w:jc w:val="both"/>
        <w:rPr>
          <w:rFonts w:cs="Times New Roman"/>
        </w:rPr>
      </w:pPr>
      <w:r w:rsidRPr="00F52000">
        <w:rPr>
          <w:rFonts w:cs="Times New Roman"/>
          <w:b/>
        </w:rPr>
        <w:t>ARTICLE 6 -</w:t>
      </w:r>
      <w:r w:rsidRPr="00F52000">
        <w:rPr>
          <w:rFonts w:cs="Times New Roman"/>
        </w:rPr>
        <w:t xml:space="preserve"> a) Doctorate and thesis graduate degree student candidates wishing to benefit from tuition fee scholarships apply to the Directorates of the relevant Graduate Schools, or the International Center Directorate, with a petition. The relevant Graduate School Directorate or International Center Directorate submits these applications to the Scholarship Commission.  After the relevant examination, the scholarship commission unanimously determines the names of the students to be awarded scholarships, as well as the scholarship rates to be awarded, and submits their reasoned decision and recommendation on the issue to the Chairperson of the Board of Trustees. With the approval of the Board of Trustees, certain tuition fee exemptions are granted to these students. Outstanding students may be exempted from their tuition fees in full. The number of students to receive tuition fee scholarships and the scholarship rates to be made available are limited to the quota and rates determined by the Board of Trustees each year.</w:t>
      </w:r>
    </w:p>
    <w:p w:rsidR="00F52000" w:rsidRDefault="00F52000" w:rsidP="00F52000">
      <w:pPr>
        <w:pStyle w:val="GvdeMetni"/>
        <w:tabs>
          <w:tab w:val="left" w:pos="426"/>
        </w:tabs>
        <w:ind w:left="0" w:right="-46"/>
        <w:jc w:val="both"/>
        <w:rPr>
          <w:rFonts w:cs="Times New Roman"/>
        </w:rPr>
      </w:pPr>
    </w:p>
    <w:p w:rsidR="005377AE" w:rsidRPr="00F52000" w:rsidRDefault="00FE2DC7" w:rsidP="00F52000">
      <w:pPr>
        <w:pStyle w:val="ListeParagraf"/>
        <w:numPr>
          <w:ilvl w:val="0"/>
          <w:numId w:val="1"/>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Tuition fee scholarships may be granted on the condition that scholarship students study a certain field/ subject in their graduate degree program, and in their theses.</w:t>
      </w:r>
    </w:p>
    <w:p w:rsidR="00F52000" w:rsidRDefault="00F52000" w:rsidP="00F52000">
      <w:pPr>
        <w:tabs>
          <w:tab w:val="left" w:pos="426"/>
          <w:tab w:val="left" w:pos="837"/>
        </w:tabs>
        <w:ind w:right="-46"/>
        <w:jc w:val="both"/>
        <w:rPr>
          <w:rFonts w:ascii="Times New Roman" w:eastAsia="Times New Roman" w:hAnsi="Times New Roman" w:cs="Times New Roman"/>
          <w:sz w:val="24"/>
          <w:szCs w:val="24"/>
        </w:rPr>
      </w:pPr>
    </w:p>
    <w:p w:rsidR="00F52000" w:rsidRPr="00F52000" w:rsidRDefault="00F52000" w:rsidP="00F52000">
      <w:pPr>
        <w:tabs>
          <w:tab w:val="left" w:pos="426"/>
          <w:tab w:val="left" w:pos="837"/>
        </w:tabs>
        <w:ind w:right="-46"/>
        <w:jc w:val="both"/>
        <w:rPr>
          <w:rFonts w:ascii="Times New Roman" w:eastAsia="Times New Roman" w:hAnsi="Times New Roman" w:cs="Times New Roman"/>
          <w:sz w:val="24"/>
          <w:szCs w:val="24"/>
        </w:rPr>
      </w:pP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1"/>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lastRenderedPageBreak/>
        <w:t xml:space="preserve">As for the evaluation of tuition fee scholarship applications, </w:t>
      </w:r>
      <w:r w:rsidR="000B3E66" w:rsidRPr="00F52000">
        <w:rPr>
          <w:rFonts w:ascii="Times New Roman" w:hAnsi="Times New Roman" w:cs="Times New Roman"/>
          <w:sz w:val="24"/>
          <w:szCs w:val="24"/>
        </w:rPr>
        <w:t>the level</w:t>
      </w:r>
      <w:r w:rsidRPr="00F52000">
        <w:rPr>
          <w:rFonts w:ascii="Times New Roman" w:hAnsi="Times New Roman" w:cs="Times New Roman"/>
          <w:sz w:val="24"/>
          <w:szCs w:val="24"/>
        </w:rPr>
        <w:t xml:space="preserve"> of success of candidate students in the academic programs that they have completed, their references, as well as their ALES scores, and foreign language skills in English-medium programs are taken into consideration.</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F52000" w:rsidRDefault="00FE2DC7" w:rsidP="00F52000">
      <w:pPr>
        <w:pStyle w:val="ListeParagraf"/>
        <w:numPr>
          <w:ilvl w:val="0"/>
          <w:numId w:val="1"/>
        </w:numPr>
        <w:tabs>
          <w:tab w:val="left" w:pos="377"/>
          <w:tab w:val="left" w:pos="426"/>
        </w:tabs>
        <w:ind w:left="0" w:right="-46" w:firstLine="0"/>
        <w:jc w:val="both"/>
        <w:rPr>
          <w:rFonts w:ascii="Times New Roman" w:hAnsi="Times New Roman" w:cs="Times New Roman"/>
          <w:sz w:val="24"/>
          <w:szCs w:val="24"/>
        </w:rPr>
      </w:pPr>
      <w:r w:rsidRPr="00F52000">
        <w:rPr>
          <w:rFonts w:ascii="Times New Roman" w:hAnsi="Times New Roman" w:cs="Times New Roman"/>
          <w:sz w:val="24"/>
          <w:szCs w:val="24"/>
        </w:rPr>
        <w:t>To be eligible for a tuition fee scholarship, students are required to exhibit these conditions:</w:t>
      </w:r>
    </w:p>
    <w:p w:rsidR="00F52000" w:rsidRPr="00F52000" w:rsidRDefault="00F52000" w:rsidP="00F52000">
      <w:pPr>
        <w:pStyle w:val="ListeParagraf"/>
        <w:tabs>
          <w:tab w:val="left" w:pos="426"/>
        </w:tabs>
        <w:rPr>
          <w:rFonts w:ascii="Times New Roman" w:hAnsi="Times New Roman" w:cs="Times New Roman"/>
          <w:sz w:val="24"/>
          <w:szCs w:val="24"/>
        </w:rPr>
      </w:pPr>
    </w:p>
    <w:p w:rsidR="005377AE" w:rsidRPr="00F52000" w:rsidRDefault="00FE2DC7" w:rsidP="00F52000">
      <w:pPr>
        <w:pStyle w:val="ListeParagraf"/>
        <w:tabs>
          <w:tab w:val="left" w:pos="377"/>
          <w:tab w:val="left" w:pos="426"/>
        </w:tabs>
        <w:ind w:right="-46"/>
        <w:jc w:val="both"/>
        <w:rPr>
          <w:rFonts w:ascii="Times New Roman" w:hAnsi="Times New Roman" w:cs="Times New Roman"/>
          <w:sz w:val="24"/>
          <w:szCs w:val="24"/>
        </w:rPr>
      </w:pPr>
      <w:r w:rsidRPr="00F52000">
        <w:rPr>
          <w:rFonts w:ascii="Times New Roman" w:hAnsi="Times New Roman" w:cs="Times New Roman"/>
          <w:sz w:val="24"/>
          <w:szCs w:val="24"/>
        </w:rPr>
        <w:t>d-1) At graduation, their grade point averages are required to be at least 2.50/ 4.00 for undergraduate degree programs, and at least 3.50/ 4.00 for graduate degree programs;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rPr>
        <w:t>d-2) Their Academic Personnel and Graduate Education Entrance Examination (ALES) score for the type relevant to their program is required to be at least 70 for graduate degree programs, 75 for doctorate programs when applying with a graduate degree; and 85 for doctorate programs when applying with an undergraduate degree.</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GvdeMetni"/>
        <w:tabs>
          <w:tab w:val="left" w:pos="426"/>
        </w:tabs>
        <w:ind w:left="0" w:right="-46"/>
        <w:jc w:val="both"/>
        <w:rPr>
          <w:rFonts w:cs="Times New Roman"/>
        </w:rPr>
      </w:pPr>
      <w:r w:rsidRPr="00F52000">
        <w:rPr>
          <w:rFonts w:cs="Times New Roman"/>
        </w:rPr>
        <w:t>d-3) Doctorate degree program students granted tuition fee scholarships and admitted to doctorate degree programs with their graduate degrees are exempt from tuition fees for 8 semesters, excluding the time for the scientific preparation program, and those admitted to doctorate degree programs with undergraduate degrees are exempt from tuition fees for 10 semesters; while tuition fee scholarship students in thesis graduate degree programs are exempt from tuition fees for 4 semesters, without any course or success conditions; and these exemptions are subject to the scholarship rates granted to these students.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1"/>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Graduate or doctorate degree program students who are unable to graduate at the end of the scholarship period specified in Paragraph d) above are required to pay 50% of the tuition fees for the semester for which they are required to pay in the academic year that follows the end of their scholarship period; and they lose their scholarship regardless of their graduation status at the end of the academic year in question. Students who receive tuition fee scholarship may be on leave for a maximum of one semester during the scholarship period upon their request, and if the conditions are met. Students requesting to be on leave for longer periods lose their tuition fee scholarships.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1"/>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b/>
          <w:sz w:val="24"/>
          <w:szCs w:val="24"/>
        </w:rPr>
        <w:t>(Board of Trustees Resolution no. 2018/15, dated 01.06.2018)</w:t>
      </w:r>
      <w:r w:rsidRPr="00F52000">
        <w:rPr>
          <w:rFonts w:ascii="Times New Roman" w:hAnsi="Times New Roman" w:cs="Times New Roman"/>
          <w:sz w:val="24"/>
          <w:szCs w:val="24"/>
        </w:rPr>
        <w:t xml:space="preserve"> Students employed as instructors or research assistants while enrolled in a graduate degree program at the University, excluding those employed as instructors at the School of Foreign Languages at the University, are exempt from all tuition fees which they are obliged to pay, and study with a 100% scholarship.    If these students are unable to graduate at the end of the scholarship periods specified in Paragraph d) above, they are required to pay 25% of the semester fees for the first academic year after the end of their scholarship period, and 50% of the semester fees for the academic year to follow. Students who fail to graduate at the end of these periods lose their scholarships.</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1"/>
        </w:numPr>
        <w:tabs>
          <w:tab w:val="left" w:pos="426"/>
          <w:tab w:val="left" w:pos="668"/>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If the employment of students who are both research assistants or instructors, and students of graduate degree programs of the University ends for any reason; the scholarship status of these students end as of the termination date of their duties at the University.</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ListeParagraf"/>
        <w:numPr>
          <w:ilvl w:val="0"/>
          <w:numId w:val="1"/>
        </w:numPr>
        <w:tabs>
          <w:tab w:val="left" w:pos="426"/>
          <w:tab w:val="left" w:pos="837"/>
        </w:tabs>
        <w:ind w:left="0" w:right="-46" w:firstLine="0"/>
        <w:jc w:val="both"/>
        <w:rPr>
          <w:rFonts w:ascii="Times New Roman" w:eastAsia="Times New Roman" w:hAnsi="Times New Roman" w:cs="Times New Roman"/>
          <w:sz w:val="24"/>
          <w:szCs w:val="24"/>
        </w:rPr>
      </w:pPr>
      <w:r w:rsidRPr="00F52000">
        <w:rPr>
          <w:rFonts w:ascii="Times New Roman" w:hAnsi="Times New Roman" w:cs="Times New Roman"/>
          <w:sz w:val="24"/>
          <w:szCs w:val="24"/>
        </w:rPr>
        <w:t>Students who are research assistants at the university and pursuing their foreign language preparatory program may not receive scholarships during this period.</w:t>
      </w:r>
    </w:p>
    <w:p w:rsidR="00F52000" w:rsidRPr="00F52000" w:rsidRDefault="00F52000" w:rsidP="00F52000">
      <w:pPr>
        <w:pStyle w:val="ListeParagraf"/>
        <w:tabs>
          <w:tab w:val="left" w:pos="426"/>
        </w:tabs>
        <w:rPr>
          <w:rFonts w:ascii="Times New Roman" w:eastAsia="Times New Roman" w:hAnsi="Times New Roman" w:cs="Times New Roman"/>
          <w:sz w:val="24"/>
          <w:szCs w:val="24"/>
        </w:rPr>
      </w:pPr>
    </w:p>
    <w:p w:rsidR="00F52000" w:rsidRDefault="00FE2DC7" w:rsidP="00F52000">
      <w:pPr>
        <w:pStyle w:val="GvdeMetni"/>
        <w:tabs>
          <w:tab w:val="left" w:pos="426"/>
          <w:tab w:val="left" w:pos="836"/>
        </w:tabs>
        <w:ind w:left="0" w:right="-46"/>
        <w:jc w:val="both"/>
        <w:rPr>
          <w:rFonts w:cs="Times New Roman"/>
        </w:rPr>
      </w:pPr>
      <w:r w:rsidRPr="00F52000">
        <w:rPr>
          <w:rFonts w:cs="Times New Roman"/>
          <w:b/>
        </w:rPr>
        <w:t>i) (Board of Trustees Resolution no. 2020/1, dated 09.01.2020)</w:t>
      </w:r>
      <w:r w:rsidRPr="00F52000">
        <w:rPr>
          <w:rFonts w:cs="Times New Roman"/>
        </w:rPr>
        <w:t xml:space="preserve"> A 30% exemption is granted to the tuition fees of students who are members of the Ankara Atılım University Alumni</w:t>
      </w:r>
      <w:r w:rsidR="00F52000">
        <w:rPr>
          <w:rFonts w:cs="Times New Roman"/>
        </w:rPr>
        <w:br/>
      </w:r>
    </w:p>
    <w:p w:rsidR="00F52000" w:rsidRDefault="00F52000" w:rsidP="00F52000">
      <w:pPr>
        <w:pStyle w:val="GvdeMetni"/>
        <w:tabs>
          <w:tab w:val="left" w:pos="426"/>
          <w:tab w:val="left" w:pos="836"/>
        </w:tabs>
        <w:ind w:left="0" w:right="-46"/>
        <w:jc w:val="both"/>
        <w:rPr>
          <w:rFonts w:cs="Times New Roman"/>
        </w:rPr>
      </w:pPr>
    </w:p>
    <w:p w:rsidR="00F52000" w:rsidRDefault="00F52000" w:rsidP="00F52000">
      <w:pPr>
        <w:pStyle w:val="GvdeMetni"/>
        <w:tabs>
          <w:tab w:val="left" w:pos="426"/>
          <w:tab w:val="left" w:pos="836"/>
        </w:tabs>
        <w:ind w:left="0" w:right="-46"/>
        <w:jc w:val="both"/>
        <w:rPr>
          <w:rFonts w:cs="Times New Roman"/>
        </w:rPr>
      </w:pPr>
    </w:p>
    <w:p w:rsidR="005377AE" w:rsidRPr="00F52000" w:rsidRDefault="00FE2DC7" w:rsidP="00F52000">
      <w:pPr>
        <w:pStyle w:val="GvdeMetni"/>
        <w:tabs>
          <w:tab w:val="left" w:pos="426"/>
          <w:tab w:val="left" w:pos="836"/>
        </w:tabs>
        <w:ind w:left="0" w:right="-46"/>
        <w:jc w:val="both"/>
        <w:rPr>
          <w:rFonts w:cs="Times New Roman"/>
        </w:rPr>
      </w:pPr>
      <w:r w:rsidRPr="00F52000">
        <w:rPr>
          <w:rFonts w:cs="Times New Roman"/>
        </w:rPr>
        <w:lastRenderedPageBreak/>
        <w:t>Association and enrolled in a graduate degree program; thus, they are not eligible for a tuition fee scholarship within the scope of this Directive. The exemption covers the regular period of study. Students enrolling in doctorate degree programs are not eligible for exemptions.</w:t>
      </w:r>
    </w:p>
    <w:p w:rsidR="00F52000" w:rsidRDefault="00F52000" w:rsidP="00F52000">
      <w:pPr>
        <w:pStyle w:val="Balk1"/>
        <w:tabs>
          <w:tab w:val="left" w:pos="426"/>
        </w:tabs>
        <w:ind w:left="0" w:right="-46"/>
        <w:jc w:val="both"/>
        <w:rPr>
          <w:rFonts w:cs="Times New Roman"/>
        </w:rPr>
      </w:pPr>
    </w:p>
    <w:p w:rsidR="005377AE" w:rsidRPr="00F52000" w:rsidRDefault="00FE2DC7" w:rsidP="00F52000">
      <w:pPr>
        <w:pStyle w:val="Balk1"/>
        <w:tabs>
          <w:tab w:val="left" w:pos="426"/>
        </w:tabs>
        <w:ind w:left="0" w:right="-46"/>
        <w:jc w:val="center"/>
        <w:rPr>
          <w:rFonts w:cs="Times New Roman"/>
          <w:b w:val="0"/>
          <w:bCs w:val="0"/>
        </w:rPr>
      </w:pPr>
      <w:r w:rsidRPr="00F52000">
        <w:rPr>
          <w:rFonts w:cs="Times New Roman"/>
        </w:rPr>
        <w:t>SECTION THREE</w:t>
      </w:r>
    </w:p>
    <w:p w:rsidR="005377AE" w:rsidRPr="00F52000" w:rsidRDefault="00FE2DC7" w:rsidP="00F52000">
      <w:pPr>
        <w:tabs>
          <w:tab w:val="left" w:pos="426"/>
        </w:tabs>
        <w:ind w:right="-46"/>
        <w:jc w:val="center"/>
        <w:rPr>
          <w:rFonts w:ascii="Times New Roman" w:eastAsia="Times New Roman" w:hAnsi="Times New Roman" w:cs="Times New Roman"/>
          <w:sz w:val="24"/>
          <w:szCs w:val="24"/>
        </w:rPr>
      </w:pPr>
      <w:r w:rsidRPr="00F52000">
        <w:rPr>
          <w:rFonts w:ascii="Times New Roman" w:hAnsi="Times New Roman" w:cs="Times New Roman"/>
          <w:b/>
          <w:sz w:val="24"/>
          <w:szCs w:val="24"/>
        </w:rPr>
        <w:t>Miscellaneous Provisions</w:t>
      </w:r>
    </w:p>
    <w:p w:rsidR="005377AE" w:rsidRPr="00F52000" w:rsidRDefault="005377AE" w:rsidP="00F52000">
      <w:pPr>
        <w:tabs>
          <w:tab w:val="left" w:pos="426"/>
        </w:tabs>
        <w:ind w:right="-46"/>
        <w:jc w:val="both"/>
        <w:rPr>
          <w:rFonts w:ascii="Times New Roman" w:eastAsia="Times New Roman" w:hAnsi="Times New Roman" w:cs="Times New Roman"/>
          <w:b/>
          <w:bCs/>
          <w:sz w:val="24"/>
          <w:szCs w:val="24"/>
        </w:rPr>
      </w:pPr>
    </w:p>
    <w:p w:rsidR="005377AE" w:rsidRPr="00F52000" w:rsidRDefault="00FE2DC7" w:rsidP="00F52000">
      <w:pPr>
        <w:tabs>
          <w:tab w:val="left" w:pos="426"/>
        </w:tabs>
        <w:ind w:right="-46"/>
        <w:jc w:val="both"/>
        <w:rPr>
          <w:rFonts w:ascii="Times New Roman" w:eastAsia="Times New Roman" w:hAnsi="Times New Roman" w:cs="Times New Roman"/>
          <w:sz w:val="24"/>
          <w:szCs w:val="24"/>
        </w:rPr>
      </w:pPr>
      <w:r w:rsidRPr="00F52000">
        <w:rPr>
          <w:rFonts w:ascii="Times New Roman" w:hAnsi="Times New Roman" w:cs="Times New Roman"/>
          <w:b/>
          <w:sz w:val="24"/>
          <w:szCs w:val="24"/>
        </w:rPr>
        <w:t>Cases not included in the Directive</w:t>
      </w:r>
    </w:p>
    <w:p w:rsidR="005377AE" w:rsidRPr="00F52000" w:rsidRDefault="00FE2DC7" w:rsidP="00F52000">
      <w:pPr>
        <w:pStyle w:val="GvdeMetni"/>
        <w:tabs>
          <w:tab w:val="left" w:pos="426"/>
        </w:tabs>
        <w:ind w:left="0" w:right="-46"/>
        <w:jc w:val="both"/>
        <w:rPr>
          <w:rFonts w:cs="Times New Roman"/>
        </w:rPr>
      </w:pPr>
      <w:r w:rsidRPr="00F52000">
        <w:rPr>
          <w:rFonts w:cs="Times New Roman"/>
          <w:b/>
        </w:rPr>
        <w:t>ARTICLE 7 -</w:t>
      </w:r>
      <w:r w:rsidRPr="00F52000">
        <w:rPr>
          <w:rFonts w:cs="Times New Roman"/>
        </w:rPr>
        <w:t xml:space="preserve"> The matters not specified in this Directive are subject to the relevant legislation and principles of Atılım University.</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Effective Date</w:t>
      </w:r>
    </w:p>
    <w:p w:rsidR="005377AE" w:rsidRPr="00F52000" w:rsidRDefault="00FE2DC7" w:rsidP="00F52000">
      <w:pPr>
        <w:pStyle w:val="GvdeMetni"/>
        <w:tabs>
          <w:tab w:val="left" w:pos="426"/>
        </w:tabs>
        <w:ind w:left="0" w:right="-46"/>
        <w:jc w:val="both"/>
        <w:rPr>
          <w:rFonts w:cs="Times New Roman"/>
        </w:rPr>
      </w:pPr>
      <w:r w:rsidRPr="00F52000">
        <w:rPr>
          <w:rFonts w:cs="Times New Roman"/>
          <w:b/>
        </w:rPr>
        <w:t>ARTICLE 8 -</w:t>
      </w:r>
      <w:r w:rsidRPr="00F52000">
        <w:rPr>
          <w:rFonts w:cs="Times New Roman"/>
        </w:rPr>
        <w:t xml:space="preserve"> This Directive enters into effect as </w:t>
      </w:r>
      <w:r w:rsidR="000B3E66" w:rsidRPr="00F52000">
        <w:rPr>
          <w:rFonts w:cs="Times New Roman"/>
        </w:rPr>
        <w:t>of the</w:t>
      </w:r>
      <w:r w:rsidRPr="00F52000">
        <w:rPr>
          <w:rFonts w:cs="Times New Roman"/>
        </w:rPr>
        <w:t xml:space="preserve"> Academic Year of 2017-2018.</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Execution</w:t>
      </w:r>
    </w:p>
    <w:p w:rsidR="005377AE" w:rsidRPr="00F52000" w:rsidRDefault="00FE2DC7" w:rsidP="00F52000">
      <w:pPr>
        <w:pStyle w:val="GvdeMetni"/>
        <w:tabs>
          <w:tab w:val="left" w:pos="426"/>
        </w:tabs>
        <w:ind w:left="0" w:right="-46"/>
        <w:jc w:val="both"/>
        <w:rPr>
          <w:rFonts w:cs="Times New Roman"/>
        </w:rPr>
      </w:pPr>
      <w:r w:rsidRPr="00F52000">
        <w:rPr>
          <w:rFonts w:cs="Times New Roman"/>
          <w:b/>
        </w:rPr>
        <w:t xml:space="preserve">ARTICLE 9 - </w:t>
      </w:r>
      <w:r w:rsidRPr="00F52000">
        <w:rPr>
          <w:rFonts w:cs="Times New Roman"/>
        </w:rPr>
        <w:t>This Directive is executed by the President of Atılım University.</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Provisional Article 1</w:t>
      </w:r>
    </w:p>
    <w:p w:rsidR="005377AE" w:rsidRPr="00F52000" w:rsidRDefault="00FE2DC7" w:rsidP="00F52000">
      <w:pPr>
        <w:pStyle w:val="GvdeMetni"/>
        <w:tabs>
          <w:tab w:val="left" w:pos="426"/>
        </w:tabs>
        <w:ind w:left="0" w:right="-46"/>
        <w:jc w:val="both"/>
        <w:rPr>
          <w:rFonts w:cs="Times New Roman"/>
        </w:rPr>
      </w:pPr>
      <w:r w:rsidRPr="00F52000">
        <w:rPr>
          <w:rFonts w:cs="Times New Roman"/>
        </w:rPr>
        <w:t>Students currently employed as research assistants or instructors at the University while enrolled in a graduate degree program of the University are exempted from all tuition fees for their remaining period of study, based on the scholarship periods determined in Paragraph d-3) of Article 6 of this Directive, starting from the Fall Semester of the Academic Year of 2017-2018.</w:t>
      </w:r>
    </w:p>
    <w:p w:rsidR="005377AE" w:rsidRPr="00F52000" w:rsidRDefault="005377AE" w:rsidP="00F52000">
      <w:pPr>
        <w:tabs>
          <w:tab w:val="left" w:pos="426"/>
        </w:tabs>
        <w:ind w:right="-46"/>
        <w:jc w:val="both"/>
        <w:rPr>
          <w:rFonts w:ascii="Times New Roman" w:eastAsia="Times New Roman" w:hAnsi="Times New Roman" w:cs="Times New Roman"/>
          <w:sz w:val="24"/>
          <w:szCs w:val="24"/>
        </w:rPr>
      </w:pPr>
    </w:p>
    <w:p w:rsidR="005377AE" w:rsidRPr="00F52000" w:rsidRDefault="00FE2DC7" w:rsidP="00F52000">
      <w:pPr>
        <w:pStyle w:val="Balk1"/>
        <w:tabs>
          <w:tab w:val="left" w:pos="426"/>
        </w:tabs>
        <w:ind w:left="0" w:right="-46"/>
        <w:jc w:val="both"/>
        <w:rPr>
          <w:rFonts w:cs="Times New Roman"/>
          <w:b w:val="0"/>
          <w:bCs w:val="0"/>
        </w:rPr>
      </w:pPr>
      <w:r w:rsidRPr="00F52000">
        <w:rPr>
          <w:rFonts w:cs="Times New Roman"/>
        </w:rPr>
        <w:t>Provisional Article 2</w:t>
      </w:r>
    </w:p>
    <w:p w:rsidR="005377AE" w:rsidRPr="00F52000" w:rsidRDefault="00FE2DC7" w:rsidP="00F52000">
      <w:pPr>
        <w:pStyle w:val="GvdeMetni"/>
        <w:tabs>
          <w:tab w:val="left" w:pos="426"/>
        </w:tabs>
        <w:ind w:left="0" w:right="-46"/>
        <w:jc w:val="both"/>
        <w:rPr>
          <w:rFonts w:cs="Times New Roman"/>
        </w:rPr>
      </w:pPr>
      <w:r w:rsidRPr="00F52000">
        <w:rPr>
          <w:rFonts w:cs="Times New Roman"/>
        </w:rPr>
        <w:t>Within the scope of Directive on Scholarships and Tuition Fee Exemptions to be Granted to Students Registered in the Doctorate Degree Programs of the Atılım University Graduate Schools of Natural and Applied Sciences, and Social Sciences; the tuition fee exemptions for current Success or Incentive scholarship students are terminated on the grounds of the failure of these students to achieve the required GPA at the end of the Academic Year (3.80/4.00 and above for a 75% exemption, 3.60/4.00 and above for a 50% exemption, 3.40/4.00 and above for a 25% exemption); their failure to renew their registration each semester, their failure to pay the tuition fees when outside the scope of exemption; having been subjected to disciplinary action, exceeding the regular period of study determined for the programs, and exceeding the regular thesis period. Students who are considered to be on leave for justified and valid reasons pay half of the fee for the semester where they are registered.</w:t>
      </w:r>
      <w:bookmarkStart w:id="0" w:name="_GoBack"/>
      <w:bookmarkEnd w:id="0"/>
    </w:p>
    <w:sectPr w:rsidR="005377AE" w:rsidRPr="00F52000">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C402C"/>
    <w:multiLevelType w:val="hybridMultilevel"/>
    <w:tmpl w:val="47DACEDE"/>
    <w:lvl w:ilvl="0" w:tplc="960015F8">
      <w:start w:val="2"/>
      <w:numFmt w:val="lowerLetter"/>
      <w:lvlText w:val="%1)"/>
      <w:lvlJc w:val="left"/>
      <w:pPr>
        <w:ind w:left="116" w:hanging="720"/>
        <w:jc w:val="left"/>
      </w:pPr>
      <w:rPr>
        <w:rFonts w:ascii="Times New Roman" w:eastAsia="Times New Roman" w:hAnsi="Times New Roman" w:hint="default"/>
        <w:sz w:val="24"/>
        <w:szCs w:val="24"/>
      </w:rPr>
    </w:lvl>
    <w:lvl w:ilvl="1" w:tplc="2C727548">
      <w:start w:val="1"/>
      <w:numFmt w:val="bullet"/>
      <w:lvlText w:val="•"/>
      <w:lvlJc w:val="left"/>
      <w:pPr>
        <w:ind w:left="1038" w:hanging="720"/>
      </w:pPr>
      <w:rPr>
        <w:rFonts w:hint="default"/>
      </w:rPr>
    </w:lvl>
    <w:lvl w:ilvl="2" w:tplc="AF26C3C6">
      <w:start w:val="1"/>
      <w:numFmt w:val="bullet"/>
      <w:lvlText w:val="•"/>
      <w:lvlJc w:val="left"/>
      <w:pPr>
        <w:ind w:left="1957" w:hanging="720"/>
      </w:pPr>
      <w:rPr>
        <w:rFonts w:hint="default"/>
      </w:rPr>
    </w:lvl>
    <w:lvl w:ilvl="3" w:tplc="20C22F3E">
      <w:start w:val="1"/>
      <w:numFmt w:val="bullet"/>
      <w:lvlText w:val="•"/>
      <w:lvlJc w:val="left"/>
      <w:pPr>
        <w:ind w:left="2875" w:hanging="720"/>
      </w:pPr>
      <w:rPr>
        <w:rFonts w:hint="default"/>
      </w:rPr>
    </w:lvl>
    <w:lvl w:ilvl="4" w:tplc="C24A4848">
      <w:start w:val="1"/>
      <w:numFmt w:val="bullet"/>
      <w:lvlText w:val="•"/>
      <w:lvlJc w:val="left"/>
      <w:pPr>
        <w:ind w:left="3794" w:hanging="720"/>
      </w:pPr>
      <w:rPr>
        <w:rFonts w:hint="default"/>
      </w:rPr>
    </w:lvl>
    <w:lvl w:ilvl="5" w:tplc="5EAA08FC">
      <w:start w:val="1"/>
      <w:numFmt w:val="bullet"/>
      <w:lvlText w:val="•"/>
      <w:lvlJc w:val="left"/>
      <w:pPr>
        <w:ind w:left="4713" w:hanging="720"/>
      </w:pPr>
      <w:rPr>
        <w:rFonts w:hint="default"/>
      </w:rPr>
    </w:lvl>
    <w:lvl w:ilvl="6" w:tplc="1BACFD00">
      <w:start w:val="1"/>
      <w:numFmt w:val="bullet"/>
      <w:lvlText w:val="•"/>
      <w:lvlJc w:val="left"/>
      <w:pPr>
        <w:ind w:left="5631" w:hanging="720"/>
      </w:pPr>
      <w:rPr>
        <w:rFonts w:hint="default"/>
      </w:rPr>
    </w:lvl>
    <w:lvl w:ilvl="7" w:tplc="8B304746">
      <w:start w:val="1"/>
      <w:numFmt w:val="bullet"/>
      <w:lvlText w:val="•"/>
      <w:lvlJc w:val="left"/>
      <w:pPr>
        <w:ind w:left="6550" w:hanging="720"/>
      </w:pPr>
      <w:rPr>
        <w:rFonts w:hint="default"/>
      </w:rPr>
    </w:lvl>
    <w:lvl w:ilvl="8" w:tplc="C4E2A892">
      <w:start w:val="1"/>
      <w:numFmt w:val="bullet"/>
      <w:lvlText w:val="•"/>
      <w:lvlJc w:val="left"/>
      <w:pPr>
        <w:ind w:left="7469" w:hanging="720"/>
      </w:pPr>
      <w:rPr>
        <w:rFonts w:hint="default"/>
      </w:rPr>
    </w:lvl>
  </w:abstractNum>
  <w:abstractNum w:abstractNumId="1" w15:restartNumberingAfterBreak="0">
    <w:nsid w:val="353E4D88"/>
    <w:multiLevelType w:val="hybridMultilevel"/>
    <w:tmpl w:val="49C0D764"/>
    <w:lvl w:ilvl="0" w:tplc="BB6EF0B4">
      <w:start w:val="1"/>
      <w:numFmt w:val="lowerLetter"/>
      <w:lvlText w:val="%1)"/>
      <w:lvlJc w:val="left"/>
      <w:pPr>
        <w:ind w:left="116" w:hanging="744"/>
        <w:jc w:val="left"/>
      </w:pPr>
      <w:rPr>
        <w:rFonts w:ascii="Times New Roman" w:eastAsia="Times New Roman" w:hAnsi="Times New Roman" w:hint="default"/>
        <w:w w:val="100"/>
        <w:sz w:val="22"/>
        <w:szCs w:val="22"/>
      </w:rPr>
    </w:lvl>
    <w:lvl w:ilvl="1" w:tplc="BA2E0EBE">
      <w:start w:val="1"/>
      <w:numFmt w:val="bullet"/>
      <w:lvlText w:val="•"/>
      <w:lvlJc w:val="left"/>
      <w:pPr>
        <w:ind w:left="1038" w:hanging="744"/>
      </w:pPr>
      <w:rPr>
        <w:rFonts w:hint="default"/>
      </w:rPr>
    </w:lvl>
    <w:lvl w:ilvl="2" w:tplc="D312D858">
      <w:start w:val="1"/>
      <w:numFmt w:val="bullet"/>
      <w:lvlText w:val="•"/>
      <w:lvlJc w:val="left"/>
      <w:pPr>
        <w:ind w:left="1957" w:hanging="744"/>
      </w:pPr>
      <w:rPr>
        <w:rFonts w:hint="default"/>
      </w:rPr>
    </w:lvl>
    <w:lvl w:ilvl="3" w:tplc="6088DC6E">
      <w:start w:val="1"/>
      <w:numFmt w:val="bullet"/>
      <w:lvlText w:val="•"/>
      <w:lvlJc w:val="left"/>
      <w:pPr>
        <w:ind w:left="2875" w:hanging="744"/>
      </w:pPr>
      <w:rPr>
        <w:rFonts w:hint="default"/>
      </w:rPr>
    </w:lvl>
    <w:lvl w:ilvl="4" w:tplc="03761C86">
      <w:start w:val="1"/>
      <w:numFmt w:val="bullet"/>
      <w:lvlText w:val="•"/>
      <w:lvlJc w:val="left"/>
      <w:pPr>
        <w:ind w:left="3794" w:hanging="744"/>
      </w:pPr>
      <w:rPr>
        <w:rFonts w:hint="default"/>
      </w:rPr>
    </w:lvl>
    <w:lvl w:ilvl="5" w:tplc="8EC80600">
      <w:start w:val="1"/>
      <w:numFmt w:val="bullet"/>
      <w:lvlText w:val="•"/>
      <w:lvlJc w:val="left"/>
      <w:pPr>
        <w:ind w:left="4713" w:hanging="744"/>
      </w:pPr>
      <w:rPr>
        <w:rFonts w:hint="default"/>
      </w:rPr>
    </w:lvl>
    <w:lvl w:ilvl="6" w:tplc="92509642">
      <w:start w:val="1"/>
      <w:numFmt w:val="bullet"/>
      <w:lvlText w:val="•"/>
      <w:lvlJc w:val="left"/>
      <w:pPr>
        <w:ind w:left="5631" w:hanging="744"/>
      </w:pPr>
      <w:rPr>
        <w:rFonts w:hint="default"/>
      </w:rPr>
    </w:lvl>
    <w:lvl w:ilvl="7" w:tplc="D90060C4">
      <w:start w:val="1"/>
      <w:numFmt w:val="bullet"/>
      <w:lvlText w:val="•"/>
      <w:lvlJc w:val="left"/>
      <w:pPr>
        <w:ind w:left="6550" w:hanging="744"/>
      </w:pPr>
      <w:rPr>
        <w:rFonts w:hint="default"/>
      </w:rPr>
    </w:lvl>
    <w:lvl w:ilvl="8" w:tplc="9EB4ED30">
      <w:start w:val="1"/>
      <w:numFmt w:val="bullet"/>
      <w:lvlText w:val="•"/>
      <w:lvlJc w:val="left"/>
      <w:pPr>
        <w:ind w:left="7469" w:hanging="744"/>
      </w:pPr>
      <w:rPr>
        <w:rFonts w:hint="default"/>
      </w:rPr>
    </w:lvl>
  </w:abstractNum>
  <w:abstractNum w:abstractNumId="2" w15:restartNumberingAfterBreak="0">
    <w:nsid w:val="6A1C0AFB"/>
    <w:multiLevelType w:val="hybridMultilevel"/>
    <w:tmpl w:val="0428BF2C"/>
    <w:lvl w:ilvl="0" w:tplc="970076A6">
      <w:start w:val="1"/>
      <w:numFmt w:val="lowerLetter"/>
      <w:lvlText w:val="%1)"/>
      <w:lvlJc w:val="left"/>
      <w:pPr>
        <w:ind w:left="116" w:hanging="452"/>
        <w:jc w:val="left"/>
      </w:pPr>
      <w:rPr>
        <w:rFonts w:ascii="Times New Roman" w:eastAsia="Times New Roman" w:hAnsi="Times New Roman" w:hint="default"/>
        <w:w w:val="100"/>
        <w:sz w:val="22"/>
        <w:szCs w:val="22"/>
      </w:rPr>
    </w:lvl>
    <w:lvl w:ilvl="1" w:tplc="3C18B896">
      <w:start w:val="1"/>
      <w:numFmt w:val="bullet"/>
      <w:lvlText w:val="•"/>
      <w:lvlJc w:val="left"/>
      <w:pPr>
        <w:ind w:left="1038" w:hanging="452"/>
      </w:pPr>
      <w:rPr>
        <w:rFonts w:hint="default"/>
      </w:rPr>
    </w:lvl>
    <w:lvl w:ilvl="2" w:tplc="E56E3802">
      <w:start w:val="1"/>
      <w:numFmt w:val="bullet"/>
      <w:lvlText w:val="•"/>
      <w:lvlJc w:val="left"/>
      <w:pPr>
        <w:ind w:left="1957" w:hanging="452"/>
      </w:pPr>
      <w:rPr>
        <w:rFonts w:hint="default"/>
      </w:rPr>
    </w:lvl>
    <w:lvl w:ilvl="3" w:tplc="FD508C8C">
      <w:start w:val="1"/>
      <w:numFmt w:val="bullet"/>
      <w:lvlText w:val="•"/>
      <w:lvlJc w:val="left"/>
      <w:pPr>
        <w:ind w:left="2875" w:hanging="452"/>
      </w:pPr>
      <w:rPr>
        <w:rFonts w:hint="default"/>
      </w:rPr>
    </w:lvl>
    <w:lvl w:ilvl="4" w:tplc="5CDA738C">
      <w:start w:val="1"/>
      <w:numFmt w:val="bullet"/>
      <w:lvlText w:val="•"/>
      <w:lvlJc w:val="left"/>
      <w:pPr>
        <w:ind w:left="3794" w:hanging="452"/>
      </w:pPr>
      <w:rPr>
        <w:rFonts w:hint="default"/>
      </w:rPr>
    </w:lvl>
    <w:lvl w:ilvl="5" w:tplc="2F868546">
      <w:start w:val="1"/>
      <w:numFmt w:val="bullet"/>
      <w:lvlText w:val="•"/>
      <w:lvlJc w:val="left"/>
      <w:pPr>
        <w:ind w:left="4713" w:hanging="452"/>
      </w:pPr>
      <w:rPr>
        <w:rFonts w:hint="default"/>
      </w:rPr>
    </w:lvl>
    <w:lvl w:ilvl="6" w:tplc="6042482E">
      <w:start w:val="1"/>
      <w:numFmt w:val="bullet"/>
      <w:lvlText w:val="•"/>
      <w:lvlJc w:val="left"/>
      <w:pPr>
        <w:ind w:left="5631" w:hanging="452"/>
      </w:pPr>
      <w:rPr>
        <w:rFonts w:hint="default"/>
      </w:rPr>
    </w:lvl>
    <w:lvl w:ilvl="7" w:tplc="64F0DCF4">
      <w:start w:val="1"/>
      <w:numFmt w:val="bullet"/>
      <w:lvlText w:val="•"/>
      <w:lvlJc w:val="left"/>
      <w:pPr>
        <w:ind w:left="6550" w:hanging="452"/>
      </w:pPr>
      <w:rPr>
        <w:rFonts w:hint="default"/>
      </w:rPr>
    </w:lvl>
    <w:lvl w:ilvl="8" w:tplc="31920CEE">
      <w:start w:val="1"/>
      <w:numFmt w:val="bullet"/>
      <w:lvlText w:val="•"/>
      <w:lvlJc w:val="left"/>
      <w:pPr>
        <w:ind w:left="7469" w:hanging="45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377AE"/>
    <w:rsid w:val="000B3E66"/>
    <w:rsid w:val="005377AE"/>
    <w:rsid w:val="00F52000"/>
    <w:rsid w:val="00FE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B0F2"/>
  <w15:docId w15:val="{83F83D12-9FBB-4EFD-9E58-8B7A7ADE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2023-11-03T14:23:00Z</dcterms:created>
  <dcterms:modified xsi:type="dcterms:W3CDTF">2023-11-06T09:17:00Z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Microsoft® Word for Microsoft 365</vt:lpwstr>
  </property>
  <property fmtid="{D5CDD505-2E9C-101B-9397-08002B2CF9AE}" pid="4" name="LastSaved">
    <vt:filetime>2023-11-03T00:00:00Z</vt:filetime>
  </property>
</Properties>
</file>