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93" w:rsidRDefault="00227ED8" w:rsidP="00AC22C3">
      <w:pPr>
        <w:pStyle w:val="GvdeMetni"/>
        <w:spacing w:before="52"/>
        <w:ind w:left="0"/>
        <w:jc w:val="both"/>
        <w:rPr>
          <w:rFonts w:cs="Times New Roman"/>
        </w:rPr>
      </w:pPr>
      <w:r>
        <w:t>(Board of Trustees Resolution dated 12.07.2023)</w:t>
      </w:r>
    </w:p>
    <w:p w:rsidR="00A75793" w:rsidRDefault="00A75793" w:rsidP="00AC22C3">
      <w:pPr>
        <w:rPr>
          <w:rFonts w:ascii="Times New Roman" w:eastAsia="Times New Roman" w:hAnsi="Times New Roman" w:cs="Times New Roman"/>
          <w:sz w:val="24"/>
          <w:szCs w:val="24"/>
        </w:rPr>
      </w:pPr>
    </w:p>
    <w:p w:rsidR="00A75793" w:rsidRDefault="00A75793" w:rsidP="00AC22C3">
      <w:pPr>
        <w:rPr>
          <w:rFonts w:ascii="Times New Roman" w:eastAsia="Times New Roman" w:hAnsi="Times New Roman" w:cs="Times New Roman"/>
          <w:sz w:val="20"/>
          <w:szCs w:val="20"/>
        </w:rPr>
      </w:pPr>
    </w:p>
    <w:p w:rsidR="00A75793" w:rsidRDefault="00227ED8" w:rsidP="00AC22C3">
      <w:pPr>
        <w:pStyle w:val="Balk1"/>
        <w:ind w:left="0"/>
        <w:jc w:val="center"/>
        <w:rPr>
          <w:rFonts w:cs="Times New Roman"/>
          <w:b w:val="0"/>
          <w:bCs w:val="0"/>
        </w:rPr>
      </w:pPr>
      <w:r>
        <w:t>ATILIM UNIVERSITY REGULATIONS ON SCHOLARSHIPS</w:t>
      </w:r>
    </w:p>
    <w:p w:rsidR="00A75793" w:rsidRDefault="00A75793" w:rsidP="00AC22C3">
      <w:pPr>
        <w:rPr>
          <w:rFonts w:ascii="Times New Roman" w:eastAsia="Times New Roman" w:hAnsi="Times New Roman" w:cs="Times New Roman"/>
          <w:b/>
          <w:bCs/>
          <w:sz w:val="24"/>
          <w:szCs w:val="24"/>
        </w:rPr>
      </w:pPr>
    </w:p>
    <w:p w:rsidR="00A75793" w:rsidRDefault="00227ED8" w:rsidP="00AC22C3">
      <w:pPr>
        <w:jc w:val="both"/>
        <w:rPr>
          <w:rFonts w:ascii="Times New Roman" w:eastAsia="Times New Roman" w:hAnsi="Times New Roman" w:cs="Times New Roman"/>
          <w:sz w:val="24"/>
          <w:szCs w:val="24"/>
        </w:rPr>
      </w:pPr>
      <w:r>
        <w:rPr>
          <w:rFonts w:ascii="Times New Roman"/>
          <w:b/>
          <w:sz w:val="24"/>
        </w:rPr>
        <w:t>Scope</w:t>
      </w:r>
    </w:p>
    <w:p w:rsidR="00A75793" w:rsidRDefault="00227ED8" w:rsidP="00AC22C3">
      <w:pPr>
        <w:pStyle w:val="GvdeMetni"/>
        <w:ind w:left="0"/>
        <w:jc w:val="both"/>
      </w:pPr>
      <w:r>
        <w:rPr>
          <w:b/>
        </w:rPr>
        <w:t xml:space="preserve">Article 1- </w:t>
      </w:r>
      <w:r>
        <w:t>These Regulations covers the provisions regarding the scholarships to be granted by the Board of Trustees to associate and undergraduate degree students of Atılım University.</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b w:val="0"/>
          <w:bCs w:val="0"/>
        </w:rPr>
      </w:pPr>
      <w:r>
        <w:t>Purpose</w:t>
      </w:r>
    </w:p>
    <w:p w:rsidR="00A75793" w:rsidRDefault="00227ED8" w:rsidP="00AC22C3">
      <w:pPr>
        <w:pStyle w:val="GvdeMetni"/>
        <w:ind w:left="0"/>
        <w:jc w:val="both"/>
        <w:rPr>
          <w:rFonts w:cs="Times New Roman"/>
        </w:rPr>
      </w:pPr>
      <w:r>
        <w:rPr>
          <w:b/>
        </w:rPr>
        <w:t>Article 2-</w:t>
      </w:r>
      <w:r>
        <w:t xml:space="preserve"> The purpose of these Regulations is to admit successful stude</w:t>
      </w:r>
      <w:r>
        <w:t>nts, encourage students to achieve more, increase student success rates and support successful students who may not afford higher education.</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rFonts w:cs="Times New Roman"/>
          <w:b w:val="0"/>
          <w:bCs w:val="0"/>
        </w:rPr>
      </w:pPr>
      <w:r>
        <w:t>Scholarship Types</w:t>
      </w:r>
    </w:p>
    <w:p w:rsidR="00A75793" w:rsidRDefault="00227ED8" w:rsidP="00AC22C3">
      <w:pPr>
        <w:jc w:val="both"/>
        <w:rPr>
          <w:rFonts w:ascii="Times New Roman" w:eastAsia="Times New Roman" w:hAnsi="Times New Roman" w:cs="Times New Roman"/>
          <w:sz w:val="24"/>
          <w:szCs w:val="24"/>
        </w:rPr>
      </w:pPr>
      <w:r>
        <w:rPr>
          <w:rFonts w:ascii="Times New Roman"/>
          <w:b/>
          <w:sz w:val="24"/>
        </w:rPr>
        <w:t>Article 3:</w:t>
      </w:r>
    </w:p>
    <w:p w:rsidR="00A75793" w:rsidRDefault="00A75793" w:rsidP="00AC22C3">
      <w:pPr>
        <w:rPr>
          <w:rFonts w:ascii="Times New Roman" w:eastAsia="Times New Roman" w:hAnsi="Times New Roman" w:cs="Times New Roman"/>
          <w:b/>
          <w:bCs/>
          <w:sz w:val="24"/>
          <w:szCs w:val="24"/>
        </w:rPr>
      </w:pPr>
    </w:p>
    <w:p w:rsidR="00AC22C3" w:rsidRDefault="00227ED8" w:rsidP="00AC22C3">
      <w:pPr>
        <w:spacing w:line="480" w:lineRule="auto"/>
        <w:rPr>
          <w:rFonts w:ascii="Times New Roman" w:hAnsi="Times New Roman"/>
          <w:b/>
          <w:sz w:val="24"/>
        </w:rPr>
      </w:pPr>
      <w:r>
        <w:rPr>
          <w:rFonts w:ascii="Times New Roman" w:hAnsi="Times New Roman"/>
          <w:b/>
          <w:sz w:val="24"/>
        </w:rPr>
        <w:t xml:space="preserve">A.) ÖSYM Placement Scholarship </w:t>
      </w:r>
    </w:p>
    <w:p w:rsidR="00A75793" w:rsidRDefault="00227ED8" w:rsidP="00AC22C3">
      <w:pPr>
        <w:spacing w:line="480" w:lineRule="auto"/>
        <w:rPr>
          <w:rFonts w:ascii="Times New Roman" w:eastAsia="Times New Roman" w:hAnsi="Times New Roman" w:cs="Times New Roman"/>
          <w:sz w:val="24"/>
          <w:szCs w:val="24"/>
        </w:rPr>
      </w:pPr>
      <w:r>
        <w:rPr>
          <w:rFonts w:ascii="Times New Roman" w:hAnsi="Times New Roman"/>
          <w:b/>
          <w:sz w:val="24"/>
        </w:rPr>
        <w:t>A.a) YKS (LYS) Scholarship</w:t>
      </w:r>
    </w:p>
    <w:p w:rsidR="00A75793" w:rsidRDefault="00227ED8" w:rsidP="00AC22C3">
      <w:pPr>
        <w:pStyle w:val="ListeParagraf"/>
        <w:numPr>
          <w:ilvl w:val="0"/>
          <w:numId w:val="10"/>
        </w:numPr>
        <w:tabs>
          <w:tab w:val="left" w:pos="552"/>
        </w:tabs>
        <w:spacing w:before="10"/>
        <w:ind w:left="0" w:firstLine="0"/>
        <w:jc w:val="both"/>
        <w:rPr>
          <w:rFonts w:ascii="Times New Roman" w:eastAsia="Times New Roman" w:hAnsi="Times New Roman" w:cs="Times New Roman"/>
          <w:sz w:val="24"/>
          <w:szCs w:val="24"/>
        </w:rPr>
      </w:pPr>
      <w:r>
        <w:rPr>
          <w:rFonts w:ascii="Times New Roman" w:hAnsi="Times New Roman"/>
          <w:sz w:val="24"/>
          <w:szCs w:val="24"/>
        </w:rPr>
        <w:t>This scholarship is grante</w:t>
      </w:r>
      <w:r>
        <w:rPr>
          <w:rFonts w:ascii="Times New Roman" w:hAnsi="Times New Roman"/>
          <w:sz w:val="24"/>
          <w:szCs w:val="24"/>
        </w:rPr>
        <w:t>d to students who are enrolled in the programs admitting students with “scholarships” or “discounts” in accordance with the quotas and conditions stated in Higher Education Programs and Quotas Guide published by the Turkish Council of Higher Education (ÖSY</w:t>
      </w:r>
      <w:r>
        <w:rPr>
          <w:rFonts w:ascii="Times New Roman" w:hAnsi="Times New Roman"/>
          <w:sz w:val="24"/>
          <w:szCs w:val="24"/>
        </w:rPr>
        <w:t>M).</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0"/>
        </w:numPr>
        <w:tabs>
          <w:tab w:val="left" w:pos="458"/>
        </w:tabs>
        <w:ind w:left="0" w:firstLine="0"/>
        <w:jc w:val="both"/>
        <w:rPr>
          <w:rFonts w:ascii="Times New Roman" w:eastAsia="Times New Roman" w:hAnsi="Times New Roman" w:cs="Times New Roman"/>
          <w:sz w:val="24"/>
          <w:szCs w:val="24"/>
        </w:rPr>
      </w:pPr>
      <w:r>
        <w:rPr>
          <w:rFonts w:ascii="Times New Roman" w:hAnsi="Times New Roman"/>
          <w:sz w:val="24"/>
        </w:rPr>
        <w:t>While the students who are to receive Preparatory English courses at the Basic English Department among undergraduate program students placed within the quotas to receive a 100% scholarship, or discounts of 75%, 50%, or 25%, shall benefit from scholars</w:t>
      </w:r>
      <w:r>
        <w:rPr>
          <w:rFonts w:ascii="Times New Roman" w:hAnsi="Times New Roman"/>
          <w:sz w:val="24"/>
        </w:rPr>
        <w:t>hips and discounts for 10 semesters including preparatory English courses; students enrolling in programs in Turkish shall be able to do so for 8 semesters regardless of conditions relating to courses or success levels.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0"/>
        </w:numPr>
        <w:tabs>
          <w:tab w:val="left" w:pos="514"/>
        </w:tabs>
        <w:ind w:left="0" w:firstLine="0"/>
        <w:jc w:val="both"/>
        <w:rPr>
          <w:rFonts w:ascii="Times New Roman" w:eastAsia="Times New Roman" w:hAnsi="Times New Roman" w:cs="Times New Roman"/>
          <w:sz w:val="24"/>
          <w:szCs w:val="24"/>
        </w:rPr>
      </w:pPr>
      <w:r>
        <w:rPr>
          <w:rFonts w:ascii="Times New Roman" w:hAnsi="Times New Roman"/>
          <w:sz w:val="24"/>
        </w:rPr>
        <w:t>Among the students placed in the Sc</w:t>
      </w:r>
      <w:r>
        <w:rPr>
          <w:rFonts w:ascii="Times New Roman" w:hAnsi="Times New Roman"/>
          <w:sz w:val="24"/>
        </w:rPr>
        <w:t>hool of Medicine with a 100% scholarship or a discount with respect to their YKS (LYS) results, those taking preparatory English courses at the Department of Basic English are exempted from tuition fees for 14 semesters including the period for preparatory</w:t>
      </w:r>
      <w:r>
        <w:rPr>
          <w:rFonts w:ascii="Times New Roman" w:hAnsi="Times New Roman"/>
          <w:sz w:val="24"/>
        </w:rPr>
        <w:t xml:space="preserve"> English training; whereas this applies for students to begin the programs directly for 12 semesters; depending on their scholarships or discounts, regardless of their academic achievement status.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0"/>
        </w:numPr>
        <w:tabs>
          <w:tab w:val="left" w:pos="559"/>
        </w:tabs>
        <w:ind w:left="0" w:firstLine="60"/>
        <w:jc w:val="both"/>
        <w:rPr>
          <w:rFonts w:ascii="Times New Roman" w:eastAsia="Times New Roman" w:hAnsi="Times New Roman" w:cs="Times New Roman"/>
          <w:sz w:val="24"/>
          <w:szCs w:val="24"/>
        </w:rPr>
      </w:pPr>
      <w:r>
        <w:rPr>
          <w:rFonts w:ascii="Times New Roman" w:hAnsi="Times New Roman"/>
          <w:sz w:val="24"/>
        </w:rPr>
        <w:t>Among the students placed within relevant quotas in underg</w:t>
      </w:r>
      <w:r>
        <w:rPr>
          <w:rFonts w:ascii="Times New Roman" w:hAnsi="Times New Roman"/>
          <w:sz w:val="24"/>
        </w:rPr>
        <w:t>raduate programs with a 100% scholarship or a discount of 75%, 50% or 25% while studying in another undergraduate program at Atılım University or another university, those who are to receive preparatory English courses shall be subject to exemptions from t</w:t>
      </w:r>
      <w:r>
        <w:rPr>
          <w:rFonts w:ascii="Times New Roman" w:hAnsi="Times New Roman"/>
          <w:sz w:val="24"/>
        </w:rPr>
        <w:t>uition fees for a maximum of 10 semesters, while these conditions shall apply for students beginning their undergraduate programs directly, or enrolling in programs in Turkish, for a maximum of 8 semesters, regardless of their academic success, with respec</w:t>
      </w:r>
      <w:r>
        <w:rPr>
          <w:rFonts w:ascii="Times New Roman" w:hAnsi="Times New Roman"/>
          <w:sz w:val="24"/>
        </w:rPr>
        <w:t>t to their scholarships, or discounts.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GvdeMetni"/>
        <w:ind w:left="0"/>
        <w:jc w:val="both"/>
        <w:rPr>
          <w:rFonts w:cs="Times New Roman"/>
        </w:rPr>
      </w:pPr>
      <w:r>
        <w:t>Period calculations for scholarships or discounts are made starting from the semester of assignment, to allow for 10 semesters for students who are to receive preparatory English courses, and 8 semesters for students</w:t>
      </w:r>
      <w:r>
        <w:t xml:space="preserve"> directly beginning their undergraduate programs, or those enrolling in programs in Turkish, regarding the semester when the student begins their studies (For example, for a student assigned to the third semester, the legal period for scholarships or </w:t>
      </w:r>
      <w:r>
        <w:lastRenderedPageBreak/>
        <w:t>disco</w:t>
      </w:r>
      <w:r>
        <w:t>unts is 6 semesters if the student directly begins the undergraduate program, or begins a program in Turkish; whereas the period is 8 semesters for a student to take preparatory English courses at the Department of Basic English, including the period requi</w:t>
      </w:r>
      <w:r>
        <w:t xml:space="preserve">red for preparatory training). </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0"/>
        </w:numPr>
        <w:tabs>
          <w:tab w:val="left" w:pos="473"/>
        </w:tabs>
        <w:ind w:left="0" w:firstLine="0"/>
        <w:jc w:val="both"/>
        <w:rPr>
          <w:rFonts w:ascii="Times New Roman" w:eastAsia="Times New Roman" w:hAnsi="Times New Roman" w:cs="Times New Roman"/>
          <w:sz w:val="24"/>
          <w:szCs w:val="24"/>
        </w:rPr>
      </w:pPr>
      <w:r>
        <w:rPr>
          <w:rFonts w:ascii="Times New Roman" w:hAnsi="Times New Roman"/>
          <w:sz w:val="24"/>
        </w:rPr>
        <w:t>Scholarships or discounts granted to students enrolling in undergraduate programs in Turkish cover the tuition for the program. If students wish to proceed with</w:t>
      </w:r>
      <w:r>
        <w:rPr>
          <w:rFonts w:ascii="Times New Roman" w:hAnsi="Times New Roman"/>
          <w:sz w:val="24"/>
        </w:rPr>
        <w:t xml:space="preserve"> optional preparatory English courses at the Department of Basic English, they shall pay the tuition fee in full for preparatory English courses.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0"/>
        </w:numPr>
        <w:tabs>
          <w:tab w:val="left" w:pos="496"/>
        </w:tabs>
        <w:ind w:left="0" w:firstLine="0"/>
        <w:jc w:val="both"/>
        <w:rPr>
          <w:rFonts w:ascii="Times New Roman" w:eastAsia="Times New Roman" w:hAnsi="Times New Roman" w:cs="Times New Roman"/>
          <w:sz w:val="24"/>
          <w:szCs w:val="24"/>
        </w:rPr>
      </w:pPr>
      <w:r>
        <w:rPr>
          <w:rFonts w:ascii="Times New Roman" w:hAnsi="Times New Roman"/>
          <w:sz w:val="24"/>
        </w:rPr>
        <w:t xml:space="preserve">Students registered in associate programs with scholarships or discounts shall be exempted from tuition fees </w:t>
      </w:r>
      <w:r>
        <w:rPr>
          <w:rFonts w:ascii="Times New Roman" w:hAnsi="Times New Roman"/>
          <w:sz w:val="24"/>
        </w:rPr>
        <w:t>depending on their scholarships or discounts, regardless of their academic achievement status for a period of 4 semesters.  Students failing to graduate at the end of this extension period shall not be granted a scholarship or a discount.</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b w:val="0"/>
          <w:bCs w:val="0"/>
        </w:rPr>
      </w:pPr>
      <w:r>
        <w:t>A.b) DGS Scholarship</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ListeParagraf"/>
        <w:numPr>
          <w:ilvl w:val="0"/>
          <w:numId w:val="9"/>
        </w:numPr>
        <w:tabs>
          <w:tab w:val="left" w:pos="506"/>
        </w:tabs>
        <w:ind w:left="0" w:firstLine="0"/>
        <w:jc w:val="both"/>
        <w:rPr>
          <w:rFonts w:ascii="Times New Roman" w:eastAsia="Times New Roman" w:hAnsi="Times New Roman" w:cs="Times New Roman"/>
          <w:sz w:val="24"/>
          <w:szCs w:val="24"/>
        </w:rPr>
      </w:pPr>
      <w:r>
        <w:rPr>
          <w:rFonts w:ascii="Times New Roman" w:hAnsi="Times New Roman"/>
          <w:sz w:val="24"/>
        </w:rPr>
        <w:t>Among students placed within relevant quotas into undergraduate programs with a 100% scholarship or a discount of 75%, 50% or 25% with respect to their DGS results, those who are to receive preparatory English courses shall be subject</w:t>
      </w:r>
      <w:r>
        <w:rPr>
          <w:rFonts w:ascii="Times New Roman" w:hAnsi="Times New Roman"/>
          <w:sz w:val="24"/>
        </w:rPr>
        <w:t xml:space="preserve"> to exemptions from tuition fees for a maximum of 10 semesters, while these conditions shall apply for students beginning their undergraduate programs directly for a maximum of 8 semesters, regardless of their academic success, with respect to their schola</w:t>
      </w:r>
      <w:r>
        <w:rPr>
          <w:rFonts w:ascii="Times New Roman" w:hAnsi="Times New Roman"/>
          <w:sz w:val="24"/>
        </w:rPr>
        <w:t>rships, or discounts.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9"/>
        </w:numPr>
        <w:tabs>
          <w:tab w:val="left" w:pos="458"/>
        </w:tabs>
        <w:ind w:left="0" w:firstLine="0"/>
        <w:jc w:val="both"/>
        <w:rPr>
          <w:rFonts w:ascii="Times New Roman" w:eastAsia="Times New Roman" w:hAnsi="Times New Roman" w:cs="Times New Roman"/>
          <w:sz w:val="24"/>
          <w:szCs w:val="24"/>
        </w:rPr>
      </w:pPr>
      <w:r>
        <w:rPr>
          <w:rFonts w:ascii="Times New Roman" w:hAnsi="Times New Roman"/>
          <w:sz w:val="24"/>
        </w:rPr>
        <w:t>Period calculations for scholarships or discounts are made starting from the semester of assignment, to allow for 10 semesters for students who are to receive preparatory English courses, and 8 semesters for students directly beginni</w:t>
      </w:r>
      <w:r>
        <w:rPr>
          <w:rFonts w:ascii="Times New Roman" w:hAnsi="Times New Roman"/>
          <w:sz w:val="24"/>
        </w:rPr>
        <w:t>ng their undergraduate programs, or those enrolling in programs in Turkish, regarding the semester when the student begins their studies (For example, for a student assigned to the third semester, the legal period for scholarships or discounts is 6 semeste</w:t>
      </w:r>
      <w:r>
        <w:rPr>
          <w:rFonts w:ascii="Times New Roman" w:hAnsi="Times New Roman"/>
          <w:sz w:val="24"/>
        </w:rPr>
        <w:t>rs if the student directly begins the undergraduate program, or begins a program in Turkish; whereas the period is 8 semesters for a student to take preparatory English courses at the Department of Basic English, including the period required for preparato</w:t>
      </w:r>
      <w:r>
        <w:rPr>
          <w:rFonts w:ascii="Times New Roman" w:hAnsi="Times New Roman"/>
          <w:sz w:val="24"/>
        </w:rPr>
        <w:t xml:space="preserve">ry training). </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9"/>
        </w:numPr>
        <w:tabs>
          <w:tab w:val="left" w:pos="473"/>
        </w:tabs>
        <w:ind w:left="0" w:firstLine="0"/>
        <w:jc w:val="both"/>
        <w:rPr>
          <w:rFonts w:ascii="Times New Roman" w:eastAsia="Times New Roman" w:hAnsi="Times New Roman" w:cs="Times New Roman"/>
          <w:sz w:val="24"/>
          <w:szCs w:val="24"/>
        </w:rPr>
      </w:pPr>
      <w:r>
        <w:rPr>
          <w:rFonts w:ascii="Times New Roman" w:hAnsi="Times New Roman"/>
          <w:sz w:val="24"/>
        </w:rPr>
        <w:t>Scholarships or discounts granted to students enrolling in undergraduate programs in Turkish cover the tuition for the program. If students wish to proceed with optional preparatory English courses at the Department of Basic English, they s</w:t>
      </w:r>
      <w:r>
        <w:rPr>
          <w:rFonts w:ascii="Times New Roman" w:hAnsi="Times New Roman"/>
          <w:sz w:val="24"/>
        </w:rPr>
        <w:t>hall pay the tuition fee in full for preparatory English courses.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b w:val="0"/>
          <w:bCs w:val="0"/>
        </w:rPr>
      </w:pPr>
      <w:r>
        <w:t>B.) Student Transfer Scholarship</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ListeParagraf"/>
        <w:numPr>
          <w:ilvl w:val="0"/>
          <w:numId w:val="8"/>
        </w:numPr>
        <w:tabs>
          <w:tab w:val="left" w:pos="468"/>
        </w:tabs>
        <w:ind w:left="0" w:firstLine="0"/>
        <w:jc w:val="both"/>
        <w:rPr>
          <w:rFonts w:ascii="Times New Roman" w:eastAsia="Times New Roman" w:hAnsi="Times New Roman" w:cs="Times New Roman"/>
          <w:sz w:val="24"/>
          <w:szCs w:val="24"/>
        </w:rPr>
      </w:pPr>
      <w:r>
        <w:rPr>
          <w:rFonts w:ascii="Times New Roman" w:hAnsi="Times New Roman"/>
          <w:sz w:val="24"/>
        </w:rPr>
        <w:t>Among the transfer students placed within relevant quotas into graduate programs with a discount of 75%, 50% or 25%, those who are to receive preparatory E</w:t>
      </w:r>
      <w:r>
        <w:rPr>
          <w:rFonts w:ascii="Times New Roman" w:hAnsi="Times New Roman"/>
          <w:sz w:val="24"/>
        </w:rPr>
        <w:t>nglish courses shall be subject to exemptions from tuition fees for a maximum of 10 semesters, while these conditions shall apply for students beginning their graduate programs directly for a maximum of 8 semesters, regardless of their academic success, wi</w:t>
      </w:r>
      <w:r>
        <w:rPr>
          <w:rFonts w:ascii="Times New Roman" w:hAnsi="Times New Roman"/>
          <w:sz w:val="24"/>
        </w:rPr>
        <w:t>th respect to their scholarships, or discounts.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8"/>
        </w:numPr>
        <w:tabs>
          <w:tab w:val="left" w:pos="457"/>
        </w:tabs>
        <w:ind w:left="0" w:firstLine="0"/>
        <w:jc w:val="both"/>
        <w:rPr>
          <w:rFonts w:ascii="Times New Roman" w:eastAsia="Times New Roman" w:hAnsi="Times New Roman" w:cs="Times New Roman"/>
          <w:sz w:val="24"/>
          <w:szCs w:val="24"/>
        </w:rPr>
      </w:pPr>
      <w:r>
        <w:rPr>
          <w:rFonts w:ascii="Times New Roman" w:hAnsi="Times New Roman"/>
          <w:sz w:val="24"/>
        </w:rPr>
        <w:t>Among the students placed in the School of Medicine within the discount quotas, those taking preparatory English courses at the Department of Basic English are exempted from tuition fees for 14 semesters inc</w:t>
      </w:r>
      <w:r>
        <w:rPr>
          <w:rFonts w:ascii="Times New Roman" w:hAnsi="Times New Roman"/>
          <w:sz w:val="24"/>
        </w:rPr>
        <w:t>luding the period for preparatory English training; whereas this applies for students to begin the programs directly for 12 semesters; depending on their scholarships or discounts, regardless of their academic achievement status.</w:t>
      </w:r>
    </w:p>
    <w:p w:rsidR="00A75793" w:rsidRDefault="00A75793" w:rsidP="00AC22C3">
      <w:pPr>
        <w:jc w:val="both"/>
        <w:rPr>
          <w:rFonts w:ascii="Times New Roman" w:eastAsia="Times New Roman" w:hAnsi="Times New Roman" w:cs="Times New Roman"/>
          <w:sz w:val="24"/>
          <w:szCs w:val="24"/>
        </w:rPr>
        <w:sectPr w:rsidR="00A75793" w:rsidSect="00AC22C3">
          <w:pgSz w:w="11910" w:h="16840"/>
          <w:pgMar w:top="1060" w:right="1300" w:bottom="1134" w:left="1300" w:header="720" w:footer="846" w:gutter="0"/>
          <w:cols w:space="720"/>
        </w:sectPr>
      </w:pPr>
    </w:p>
    <w:p w:rsidR="00A75793" w:rsidRDefault="00227ED8" w:rsidP="00AC22C3">
      <w:pPr>
        <w:pStyle w:val="ListeParagraf"/>
        <w:numPr>
          <w:ilvl w:val="0"/>
          <w:numId w:val="8"/>
        </w:numPr>
        <w:tabs>
          <w:tab w:val="left" w:pos="453"/>
        </w:tabs>
        <w:spacing w:before="56"/>
        <w:ind w:left="0" w:firstLine="0"/>
        <w:jc w:val="both"/>
        <w:rPr>
          <w:rFonts w:ascii="Times New Roman" w:eastAsia="Times New Roman" w:hAnsi="Times New Roman" w:cs="Times New Roman"/>
          <w:sz w:val="24"/>
          <w:szCs w:val="24"/>
        </w:rPr>
      </w:pPr>
      <w:r>
        <w:rPr>
          <w:rFonts w:ascii="Times New Roman" w:hAnsi="Times New Roman"/>
          <w:sz w:val="24"/>
        </w:rPr>
        <w:lastRenderedPageBreak/>
        <w:t>Period calculations for discounts are made starting from the semester of assignment, to allow for 10 semesters for students who are to receive preparatory English courses, and 8 semesters for students directly beginning their undergraduate programs, or tho</w:t>
      </w:r>
      <w:r>
        <w:rPr>
          <w:rFonts w:ascii="Times New Roman" w:hAnsi="Times New Roman"/>
          <w:sz w:val="24"/>
        </w:rPr>
        <w:t>se enrolling in programs in Turkish, regarding the semester when the student begins their studies (For example, for a student assigned to the third semester, the legal period for scholarships or discounts is 6 semesters if the student directly begins the u</w:t>
      </w:r>
      <w:r>
        <w:rPr>
          <w:rFonts w:ascii="Times New Roman" w:hAnsi="Times New Roman"/>
          <w:sz w:val="24"/>
        </w:rPr>
        <w:t xml:space="preserve">ndergraduate program, or begins a program in Turkish; whereas the period is 8 semesters for a student to take preparatory English courses at the Department of Basic English, including the period required for preparatory training). </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8"/>
        </w:numPr>
        <w:tabs>
          <w:tab w:val="left" w:pos="488"/>
        </w:tabs>
        <w:ind w:left="0" w:firstLine="0"/>
        <w:jc w:val="both"/>
        <w:rPr>
          <w:rFonts w:ascii="Times New Roman" w:eastAsia="Times New Roman" w:hAnsi="Times New Roman" w:cs="Times New Roman"/>
          <w:sz w:val="24"/>
          <w:szCs w:val="24"/>
        </w:rPr>
      </w:pPr>
      <w:r>
        <w:rPr>
          <w:rFonts w:ascii="Times New Roman" w:hAnsi="Times New Roman"/>
          <w:sz w:val="24"/>
        </w:rPr>
        <w:t>Discounts granted to st</w:t>
      </w:r>
      <w:r>
        <w:rPr>
          <w:rFonts w:ascii="Times New Roman" w:hAnsi="Times New Roman"/>
          <w:sz w:val="24"/>
        </w:rPr>
        <w:t>udents enrolling in undergraduate programs in Turkish cover the tuition for the program. If students wish to proceed with optional preparatory English courses at the Department of Basic English, they shall pay the tuition fee in full for preparatory Englis</w:t>
      </w:r>
      <w:r>
        <w:rPr>
          <w:rFonts w:ascii="Times New Roman" w:hAnsi="Times New Roman"/>
          <w:sz w:val="24"/>
        </w:rPr>
        <w:t>h courses.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b w:val="0"/>
          <w:bCs w:val="0"/>
        </w:rPr>
      </w:pPr>
      <w:r>
        <w:t>C.) Academic Achievement Scholarship</w:t>
      </w:r>
    </w:p>
    <w:p w:rsidR="00A75793" w:rsidRDefault="00A75793" w:rsidP="00AC22C3">
      <w:pPr>
        <w:rPr>
          <w:rFonts w:ascii="Times New Roman" w:eastAsia="Times New Roman" w:hAnsi="Times New Roman" w:cs="Times New Roman"/>
          <w:b/>
          <w:bCs/>
          <w:sz w:val="24"/>
          <w:szCs w:val="24"/>
        </w:rPr>
      </w:pPr>
    </w:p>
    <w:p w:rsidR="001A0DC4" w:rsidRPr="001A0DC4" w:rsidRDefault="00227ED8" w:rsidP="001A0DC4">
      <w:pPr>
        <w:pStyle w:val="ListeParagraf"/>
        <w:numPr>
          <w:ilvl w:val="1"/>
          <w:numId w:val="8"/>
        </w:numPr>
        <w:tabs>
          <w:tab w:val="left" w:pos="1167"/>
        </w:tabs>
        <w:ind w:left="0" w:firstLine="720"/>
        <w:jc w:val="both"/>
        <w:rPr>
          <w:rFonts w:ascii="Times New Roman" w:eastAsia="Times New Roman" w:hAnsi="Times New Roman" w:cs="Times New Roman"/>
          <w:sz w:val="24"/>
          <w:szCs w:val="24"/>
        </w:rPr>
      </w:pPr>
      <w:r>
        <w:rPr>
          <w:rFonts w:ascii="Times New Roman" w:hAnsi="Times New Roman"/>
          <w:sz w:val="24"/>
        </w:rPr>
        <w:t>This is the scholarship granted on the grounds of the academic achievements of associate and undergraduate degree students.</w:t>
      </w:r>
    </w:p>
    <w:p w:rsidR="00A75793" w:rsidRDefault="001A0DC4" w:rsidP="001A0DC4">
      <w:pPr>
        <w:pStyle w:val="ListeParagraf"/>
        <w:tabs>
          <w:tab w:val="left" w:pos="1167"/>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5793" w:rsidRDefault="00227ED8" w:rsidP="00AC22C3">
      <w:pPr>
        <w:pStyle w:val="ListeParagraf"/>
        <w:numPr>
          <w:ilvl w:val="1"/>
          <w:numId w:val="8"/>
        </w:numPr>
        <w:tabs>
          <w:tab w:val="left" w:pos="1168"/>
        </w:tabs>
        <w:ind w:left="0" w:firstLine="720"/>
        <w:jc w:val="both"/>
        <w:rPr>
          <w:rFonts w:ascii="Times New Roman" w:eastAsia="Times New Roman" w:hAnsi="Times New Roman" w:cs="Times New Roman"/>
          <w:sz w:val="24"/>
          <w:szCs w:val="24"/>
        </w:rPr>
      </w:pPr>
      <w:r>
        <w:rPr>
          <w:rFonts w:ascii="Times New Roman" w:hAnsi="Times New Roman"/>
          <w:sz w:val="24"/>
        </w:rPr>
        <w:t>T</w:t>
      </w:r>
      <w:r>
        <w:rPr>
          <w:rFonts w:ascii="Times New Roman" w:hAnsi="Times New Roman"/>
          <w:sz w:val="24"/>
        </w:rPr>
        <w:t>he Academic Achievement Scholarship is granted to undergra</w:t>
      </w:r>
      <w:r>
        <w:rPr>
          <w:rFonts w:ascii="Times New Roman" w:hAnsi="Times New Roman"/>
          <w:sz w:val="24"/>
        </w:rPr>
        <w:t>duate and associate degree students of Atılım University who pay their tuition fee in full, as well as students with discounts of 25%, 50% or 75% on the grounds of their YKS, and Intra- and Inter-Institutional Student Transfer Scholarships.</w:t>
      </w:r>
    </w:p>
    <w:p w:rsidR="00A75793" w:rsidRDefault="00A75793" w:rsidP="00AC22C3">
      <w:pPr>
        <w:rPr>
          <w:rFonts w:ascii="Times New Roman" w:eastAsia="Times New Roman" w:hAnsi="Times New Roman" w:cs="Times New Roman"/>
          <w:sz w:val="24"/>
          <w:szCs w:val="24"/>
        </w:rPr>
      </w:pPr>
    </w:p>
    <w:p w:rsidR="00A75793" w:rsidRDefault="00227ED8" w:rsidP="001A0DC4">
      <w:pPr>
        <w:pStyle w:val="GvdeMetni"/>
        <w:ind w:left="709" w:firstLine="11"/>
        <w:jc w:val="both"/>
        <w:rPr>
          <w:rFonts w:cs="Times New Roman"/>
        </w:rPr>
      </w:pPr>
      <w:r>
        <w:t>(2.1) Among th</w:t>
      </w:r>
      <w:r>
        <w:t>e students who pay the full tuition fee for undergraduate and associate degree programs of Atılım University, the ones who have a minimum GPA of 3.00 in their last academic year excluding summer school studies are granted this scholarship.</w:t>
      </w:r>
    </w:p>
    <w:p w:rsidR="00A75793" w:rsidRDefault="00A75793" w:rsidP="00AC22C3">
      <w:pPr>
        <w:rPr>
          <w:rFonts w:ascii="Times New Roman" w:eastAsia="Times New Roman" w:hAnsi="Times New Roman" w:cs="Times New Roman"/>
          <w:sz w:val="24"/>
          <w:szCs w:val="24"/>
        </w:rPr>
      </w:pPr>
    </w:p>
    <w:p w:rsidR="00A75793" w:rsidRDefault="00227ED8" w:rsidP="001A0DC4">
      <w:pPr>
        <w:pStyle w:val="ListeParagraf"/>
        <w:numPr>
          <w:ilvl w:val="0"/>
          <w:numId w:val="7"/>
        </w:numPr>
        <w:tabs>
          <w:tab w:val="left" w:pos="993"/>
        </w:tabs>
        <w:ind w:left="993" w:hanging="284"/>
        <w:jc w:val="both"/>
        <w:rPr>
          <w:rFonts w:ascii="Times New Roman" w:eastAsia="Times New Roman" w:hAnsi="Times New Roman" w:cs="Times New Roman"/>
          <w:sz w:val="24"/>
          <w:szCs w:val="24"/>
        </w:rPr>
      </w:pPr>
      <w:r>
        <w:rPr>
          <w:rFonts w:ascii="Times New Roman" w:hAnsi="Times New Roman"/>
          <w:sz w:val="24"/>
        </w:rPr>
        <w:t>The students wi</w:t>
      </w:r>
      <w:r>
        <w:rPr>
          <w:rFonts w:ascii="Times New Roman" w:hAnsi="Times New Roman"/>
          <w:sz w:val="24"/>
        </w:rPr>
        <w:t>th a GPA between 3.90 - 4.00 in their last academic year of attendance of the undergraduate and associate degree program to which they are registered shall be exempted from paying the tuition fee in full.</w:t>
      </w:r>
    </w:p>
    <w:p w:rsidR="00A75793" w:rsidRDefault="00A75793" w:rsidP="001A0DC4">
      <w:pPr>
        <w:tabs>
          <w:tab w:val="left" w:pos="993"/>
        </w:tabs>
        <w:ind w:left="993" w:hanging="284"/>
        <w:rPr>
          <w:rFonts w:ascii="Times New Roman" w:eastAsia="Times New Roman" w:hAnsi="Times New Roman" w:cs="Times New Roman"/>
          <w:sz w:val="24"/>
          <w:szCs w:val="24"/>
        </w:rPr>
      </w:pPr>
    </w:p>
    <w:p w:rsidR="00A75793" w:rsidRDefault="00227ED8" w:rsidP="001A0DC4">
      <w:pPr>
        <w:pStyle w:val="ListeParagraf"/>
        <w:numPr>
          <w:ilvl w:val="0"/>
          <w:numId w:val="7"/>
        </w:numPr>
        <w:tabs>
          <w:tab w:val="left" w:pos="993"/>
        </w:tabs>
        <w:ind w:left="993" w:hanging="284"/>
        <w:jc w:val="both"/>
        <w:rPr>
          <w:rFonts w:ascii="Times New Roman" w:eastAsia="Times New Roman" w:hAnsi="Times New Roman" w:cs="Times New Roman"/>
          <w:sz w:val="24"/>
          <w:szCs w:val="24"/>
        </w:rPr>
      </w:pPr>
      <w:r>
        <w:rPr>
          <w:rFonts w:ascii="Times New Roman" w:hAnsi="Times New Roman"/>
          <w:sz w:val="24"/>
          <w:szCs w:val="24"/>
        </w:rPr>
        <w:t>The students with a GPA between 3.70 - 3.89 in their last academic year of attendance of the undergraduate and associate degree program to which they are registered shall be granted a tuition fee discount of 80%.</w:t>
      </w:r>
    </w:p>
    <w:p w:rsidR="00A75793" w:rsidRDefault="00A75793" w:rsidP="001A0DC4">
      <w:pPr>
        <w:tabs>
          <w:tab w:val="left" w:pos="993"/>
        </w:tabs>
        <w:ind w:left="993" w:hanging="284"/>
        <w:rPr>
          <w:rFonts w:ascii="Times New Roman" w:eastAsia="Times New Roman" w:hAnsi="Times New Roman" w:cs="Times New Roman"/>
          <w:sz w:val="24"/>
          <w:szCs w:val="24"/>
        </w:rPr>
      </w:pPr>
    </w:p>
    <w:p w:rsidR="00A75793" w:rsidRDefault="00227ED8" w:rsidP="001A0DC4">
      <w:pPr>
        <w:pStyle w:val="ListeParagraf"/>
        <w:numPr>
          <w:ilvl w:val="0"/>
          <w:numId w:val="7"/>
        </w:numPr>
        <w:tabs>
          <w:tab w:val="left" w:pos="993"/>
        </w:tabs>
        <w:ind w:left="993" w:hanging="284"/>
        <w:jc w:val="both"/>
        <w:rPr>
          <w:rFonts w:ascii="Times New Roman" w:eastAsia="Times New Roman" w:hAnsi="Times New Roman" w:cs="Times New Roman"/>
          <w:sz w:val="24"/>
          <w:szCs w:val="24"/>
        </w:rPr>
      </w:pPr>
      <w:r>
        <w:rPr>
          <w:rFonts w:ascii="Times New Roman" w:hAnsi="Times New Roman"/>
          <w:sz w:val="24"/>
          <w:szCs w:val="24"/>
        </w:rPr>
        <w:t>The students with a GPA between 3.50 - 3.6</w:t>
      </w:r>
      <w:r>
        <w:rPr>
          <w:rFonts w:ascii="Times New Roman" w:hAnsi="Times New Roman"/>
          <w:sz w:val="24"/>
          <w:szCs w:val="24"/>
        </w:rPr>
        <w:t>9 in their last academic year of attendance of the undergraduate and associate degree program to which they are registered shall be granted a tuition fee discount of 60%.</w:t>
      </w:r>
    </w:p>
    <w:p w:rsidR="00A75793" w:rsidRDefault="00A75793" w:rsidP="001A0DC4">
      <w:pPr>
        <w:tabs>
          <w:tab w:val="left" w:pos="993"/>
        </w:tabs>
        <w:ind w:left="993" w:hanging="284"/>
        <w:rPr>
          <w:rFonts w:ascii="Times New Roman" w:eastAsia="Times New Roman" w:hAnsi="Times New Roman" w:cs="Times New Roman"/>
          <w:sz w:val="24"/>
          <w:szCs w:val="24"/>
        </w:rPr>
      </w:pPr>
    </w:p>
    <w:p w:rsidR="00A75793" w:rsidRDefault="00227ED8" w:rsidP="001A0DC4">
      <w:pPr>
        <w:pStyle w:val="ListeParagraf"/>
        <w:numPr>
          <w:ilvl w:val="0"/>
          <w:numId w:val="7"/>
        </w:numPr>
        <w:tabs>
          <w:tab w:val="left" w:pos="993"/>
        </w:tabs>
        <w:ind w:left="993" w:hanging="284"/>
        <w:jc w:val="both"/>
        <w:rPr>
          <w:rFonts w:ascii="Times New Roman" w:eastAsia="Times New Roman" w:hAnsi="Times New Roman" w:cs="Times New Roman"/>
          <w:sz w:val="24"/>
          <w:szCs w:val="24"/>
        </w:rPr>
      </w:pPr>
      <w:r>
        <w:rPr>
          <w:rFonts w:ascii="Times New Roman" w:hAnsi="Times New Roman"/>
          <w:sz w:val="24"/>
          <w:szCs w:val="24"/>
        </w:rPr>
        <w:t>The students with a GPA between 3.30 - 3.69 in their last academic year of attendanc</w:t>
      </w:r>
      <w:r>
        <w:rPr>
          <w:rFonts w:ascii="Times New Roman" w:hAnsi="Times New Roman"/>
          <w:sz w:val="24"/>
          <w:szCs w:val="24"/>
        </w:rPr>
        <w:t>e of the undergraduate and associate degree program to which they are registered shall be granted a tuition fee discount of 40%.</w:t>
      </w:r>
    </w:p>
    <w:p w:rsidR="00A75793" w:rsidRDefault="00A75793" w:rsidP="001A0DC4">
      <w:pPr>
        <w:tabs>
          <w:tab w:val="left" w:pos="993"/>
        </w:tabs>
        <w:ind w:left="993" w:hanging="284"/>
        <w:rPr>
          <w:rFonts w:ascii="Times New Roman" w:eastAsia="Times New Roman" w:hAnsi="Times New Roman" w:cs="Times New Roman"/>
          <w:sz w:val="24"/>
          <w:szCs w:val="24"/>
        </w:rPr>
      </w:pPr>
    </w:p>
    <w:p w:rsidR="00A75793" w:rsidRDefault="00227ED8" w:rsidP="001A0DC4">
      <w:pPr>
        <w:pStyle w:val="ListeParagraf"/>
        <w:numPr>
          <w:ilvl w:val="0"/>
          <w:numId w:val="7"/>
        </w:numPr>
        <w:tabs>
          <w:tab w:val="left" w:pos="993"/>
        </w:tabs>
        <w:ind w:left="993" w:hanging="284"/>
        <w:jc w:val="both"/>
        <w:rPr>
          <w:rFonts w:ascii="Times New Roman" w:eastAsia="Times New Roman" w:hAnsi="Times New Roman" w:cs="Times New Roman"/>
          <w:sz w:val="24"/>
          <w:szCs w:val="24"/>
        </w:rPr>
      </w:pPr>
      <w:r>
        <w:rPr>
          <w:rFonts w:ascii="Times New Roman" w:hAnsi="Times New Roman"/>
          <w:sz w:val="24"/>
          <w:szCs w:val="24"/>
        </w:rPr>
        <w:t>The students with a GPA between 3.00 - 3.29 in their last academic year of attendance of the undergraduate and associate degre</w:t>
      </w:r>
      <w:r>
        <w:rPr>
          <w:rFonts w:ascii="Times New Roman" w:hAnsi="Times New Roman"/>
          <w:sz w:val="24"/>
          <w:szCs w:val="24"/>
        </w:rPr>
        <w:t>e program to which they are registered shall be granted a tuition fee discount of 20%.</w:t>
      </w:r>
    </w:p>
    <w:p w:rsidR="00A75793" w:rsidRDefault="00A75793" w:rsidP="001A0DC4">
      <w:pPr>
        <w:tabs>
          <w:tab w:val="left" w:pos="993"/>
        </w:tabs>
        <w:ind w:left="993" w:hanging="284"/>
        <w:rPr>
          <w:rFonts w:ascii="Times New Roman" w:eastAsia="Times New Roman" w:hAnsi="Times New Roman" w:cs="Times New Roman"/>
          <w:sz w:val="24"/>
          <w:szCs w:val="24"/>
        </w:rPr>
      </w:pPr>
    </w:p>
    <w:p w:rsidR="00A75793" w:rsidRDefault="00227ED8" w:rsidP="001A0DC4">
      <w:pPr>
        <w:pStyle w:val="GvdeMetni"/>
        <w:ind w:left="709"/>
        <w:jc w:val="both"/>
        <w:rPr>
          <w:rFonts w:cs="Times New Roman"/>
        </w:rPr>
      </w:pPr>
      <w:r>
        <w:t xml:space="preserve">(2.2) Among the students registered in undergraduate and associate degree programs of Atılım University with a discount of </w:t>
      </w:r>
      <w:r>
        <w:t xml:space="preserve">25%, 50% or 75%, </w:t>
      </w:r>
      <w:r>
        <w:t>the discount rates of the on</w:t>
      </w:r>
      <w:r>
        <w:t xml:space="preserve">es who have a minimum GPA of 3.50 (excluding summer school studies) shall be </w:t>
      </w:r>
      <w:r>
        <w:t>rounded up to the scholarship rates below, with respect to their initial discounts.</w:t>
      </w:r>
    </w:p>
    <w:p w:rsidR="00A75793" w:rsidRDefault="00A75793" w:rsidP="001A0DC4">
      <w:pPr>
        <w:tabs>
          <w:tab w:val="left" w:pos="993"/>
        </w:tabs>
        <w:ind w:left="993" w:hanging="284"/>
        <w:jc w:val="both"/>
        <w:rPr>
          <w:rFonts w:ascii="Times New Roman" w:eastAsia="Times New Roman" w:hAnsi="Times New Roman" w:cs="Times New Roman"/>
        </w:rPr>
        <w:sectPr w:rsidR="00A75793">
          <w:pgSz w:w="11910" w:h="16840"/>
          <w:pgMar w:top="1060" w:right="1300" w:bottom="280" w:left="1300" w:header="720" w:footer="720" w:gutter="0"/>
          <w:cols w:space="720"/>
        </w:sectPr>
      </w:pPr>
    </w:p>
    <w:p w:rsidR="00A75793" w:rsidRDefault="00227ED8" w:rsidP="001A0DC4">
      <w:pPr>
        <w:pStyle w:val="ListeParagraf"/>
        <w:numPr>
          <w:ilvl w:val="0"/>
          <w:numId w:val="6"/>
        </w:numPr>
        <w:tabs>
          <w:tab w:val="left" w:pos="993"/>
        </w:tabs>
        <w:spacing w:before="56"/>
        <w:ind w:left="993" w:hanging="284"/>
        <w:jc w:val="both"/>
        <w:rPr>
          <w:rFonts w:ascii="Times New Roman" w:eastAsia="Times New Roman" w:hAnsi="Times New Roman" w:cs="Times New Roman"/>
          <w:sz w:val="24"/>
          <w:szCs w:val="24"/>
        </w:rPr>
      </w:pPr>
      <w:r>
        <w:rPr>
          <w:rFonts w:ascii="Times New Roman" w:hAnsi="Times New Roman"/>
          <w:sz w:val="24"/>
        </w:rPr>
        <w:lastRenderedPageBreak/>
        <w:t>The students with a GPA between 3.90 - 4.00 in their last academic year of attend</w:t>
      </w:r>
      <w:r>
        <w:rPr>
          <w:rFonts w:ascii="Times New Roman" w:hAnsi="Times New Roman"/>
          <w:sz w:val="24"/>
        </w:rPr>
        <w:t>ance of the undergraduate and associate degree program to which they are registered shall be exempted from paying the tuition fee in full.</w:t>
      </w:r>
    </w:p>
    <w:p w:rsidR="00A75793" w:rsidRDefault="00A75793" w:rsidP="001A0DC4">
      <w:pPr>
        <w:tabs>
          <w:tab w:val="left" w:pos="993"/>
        </w:tabs>
        <w:ind w:left="993" w:hanging="284"/>
        <w:rPr>
          <w:rFonts w:ascii="Times New Roman" w:eastAsia="Times New Roman" w:hAnsi="Times New Roman" w:cs="Times New Roman"/>
          <w:sz w:val="24"/>
          <w:szCs w:val="24"/>
        </w:rPr>
      </w:pPr>
    </w:p>
    <w:p w:rsidR="00A75793" w:rsidRDefault="00227ED8" w:rsidP="001A0DC4">
      <w:pPr>
        <w:pStyle w:val="ListeParagraf"/>
        <w:numPr>
          <w:ilvl w:val="0"/>
          <w:numId w:val="6"/>
        </w:numPr>
        <w:tabs>
          <w:tab w:val="left" w:pos="993"/>
        </w:tabs>
        <w:ind w:left="993" w:hanging="284"/>
        <w:jc w:val="both"/>
        <w:rPr>
          <w:rFonts w:ascii="Times New Roman" w:eastAsia="Times New Roman" w:hAnsi="Times New Roman" w:cs="Times New Roman"/>
          <w:sz w:val="24"/>
          <w:szCs w:val="24"/>
        </w:rPr>
      </w:pPr>
      <w:r>
        <w:rPr>
          <w:rFonts w:ascii="Times New Roman" w:hAnsi="Times New Roman"/>
          <w:sz w:val="24"/>
          <w:szCs w:val="24"/>
        </w:rPr>
        <w:t>The students with a GPA between 3.70 - 3.89 in their last academic year of attendance of the undergraduate and associate degree program to which they are registered shall be granted a tuition fee discount of 80%.</w:t>
      </w:r>
    </w:p>
    <w:p w:rsidR="00A75793" w:rsidRDefault="00A75793" w:rsidP="001A0DC4">
      <w:pPr>
        <w:tabs>
          <w:tab w:val="left" w:pos="993"/>
        </w:tabs>
        <w:ind w:left="993" w:hanging="284"/>
        <w:rPr>
          <w:rFonts w:ascii="Times New Roman" w:eastAsia="Times New Roman" w:hAnsi="Times New Roman" w:cs="Times New Roman"/>
          <w:sz w:val="24"/>
          <w:szCs w:val="24"/>
        </w:rPr>
      </w:pPr>
    </w:p>
    <w:p w:rsidR="00A75793" w:rsidRDefault="00227ED8" w:rsidP="001A0DC4">
      <w:pPr>
        <w:pStyle w:val="ListeParagraf"/>
        <w:numPr>
          <w:ilvl w:val="0"/>
          <w:numId w:val="6"/>
        </w:numPr>
        <w:tabs>
          <w:tab w:val="left" w:pos="993"/>
        </w:tabs>
        <w:ind w:left="993" w:hanging="284"/>
        <w:jc w:val="both"/>
        <w:rPr>
          <w:rFonts w:ascii="Times New Roman" w:eastAsia="Times New Roman" w:hAnsi="Times New Roman" w:cs="Times New Roman"/>
          <w:sz w:val="24"/>
          <w:szCs w:val="24"/>
        </w:rPr>
      </w:pPr>
      <w:r>
        <w:rPr>
          <w:rFonts w:ascii="Times New Roman" w:hAnsi="Times New Roman"/>
          <w:sz w:val="24"/>
          <w:szCs w:val="24"/>
        </w:rPr>
        <w:t>The students with a GPA between 3.50 - 3.6</w:t>
      </w:r>
      <w:r>
        <w:rPr>
          <w:rFonts w:ascii="Times New Roman" w:hAnsi="Times New Roman"/>
          <w:sz w:val="24"/>
          <w:szCs w:val="24"/>
        </w:rPr>
        <w:t>9 in their last academic year of attendance of the undergraduate and associate degree program to which they are registered shall be granted a tuition fee discount of 60%.</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1"/>
          <w:numId w:val="8"/>
        </w:numPr>
        <w:tabs>
          <w:tab w:val="left" w:pos="461"/>
        </w:tabs>
        <w:ind w:left="0" w:firstLine="0"/>
        <w:jc w:val="both"/>
        <w:rPr>
          <w:rFonts w:ascii="Times New Roman" w:eastAsia="Times New Roman" w:hAnsi="Times New Roman" w:cs="Times New Roman"/>
          <w:sz w:val="24"/>
          <w:szCs w:val="24"/>
        </w:rPr>
      </w:pPr>
      <w:r>
        <w:rPr>
          <w:rFonts w:ascii="Times New Roman" w:hAnsi="Times New Roman"/>
          <w:sz w:val="24"/>
        </w:rPr>
        <w:t>The total ECTS value of students for the final academic year of their registration i</w:t>
      </w:r>
      <w:r>
        <w:rPr>
          <w:rFonts w:ascii="Times New Roman" w:hAnsi="Times New Roman"/>
          <w:sz w:val="24"/>
        </w:rPr>
        <w:t xml:space="preserve">s required to be 60 for the registered courses of School of Medicine students in the semesters of Fall </w:t>
      </w:r>
      <w:r>
        <w:rPr>
          <w:rFonts w:ascii="Times New Roman" w:hAnsi="Times New Roman"/>
          <w:sz w:val="24"/>
          <w:u w:val="single"/>
        </w:rPr>
        <w:t>and</w:t>
      </w:r>
      <w:r>
        <w:rPr>
          <w:rFonts w:ascii="Times New Roman" w:hAnsi="Times New Roman"/>
          <w:sz w:val="24"/>
        </w:rPr>
        <w:t xml:space="preserve"> Spring; and at least 30 </w:t>
      </w:r>
      <w:r>
        <w:rPr>
          <w:rFonts w:ascii="Times New Roman" w:hAnsi="Times New Roman"/>
          <w:sz w:val="24"/>
          <w:u w:val="single"/>
        </w:rPr>
        <w:t>each</w:t>
      </w:r>
      <w:r>
        <w:rPr>
          <w:rFonts w:ascii="Times New Roman" w:hAnsi="Times New Roman"/>
          <w:sz w:val="24"/>
        </w:rPr>
        <w:t xml:space="preserve"> in the semesters of Fall and Spring other program students; and these students are required to have passed these courses</w:t>
      </w:r>
      <w:r>
        <w:rPr>
          <w:rFonts w:ascii="Times New Roman" w:hAnsi="Times New Roman"/>
          <w:sz w:val="24"/>
        </w:rPr>
        <w:t xml:space="preserve"> with at least DD or S, and gained eligibility to advance to the next year. Students having received the grade W may not benefit from the scholarship.</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1"/>
          <w:numId w:val="8"/>
        </w:numPr>
        <w:tabs>
          <w:tab w:val="left" w:pos="459"/>
        </w:tabs>
        <w:ind w:left="0" w:firstLine="0"/>
        <w:jc w:val="both"/>
        <w:rPr>
          <w:rFonts w:ascii="Times New Roman" w:eastAsia="Times New Roman" w:hAnsi="Times New Roman" w:cs="Times New Roman"/>
          <w:sz w:val="24"/>
          <w:szCs w:val="24"/>
        </w:rPr>
      </w:pPr>
      <w:r>
        <w:rPr>
          <w:rFonts w:ascii="Times New Roman" w:hAnsi="Times New Roman"/>
          <w:sz w:val="24"/>
        </w:rPr>
        <w:t>Students who have completed the preparatory English courses at the end of the fall semester and are starting their studies as freshmen are taken into consideration with regards to eligibility at the end of the spring term of the following academic year.</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1"/>
          <w:numId w:val="8"/>
        </w:numPr>
        <w:tabs>
          <w:tab w:val="left" w:pos="512"/>
        </w:tabs>
        <w:ind w:left="0" w:firstLine="0"/>
        <w:jc w:val="both"/>
        <w:rPr>
          <w:rFonts w:ascii="Times New Roman" w:eastAsia="Times New Roman" w:hAnsi="Times New Roman" w:cs="Times New Roman"/>
          <w:sz w:val="24"/>
          <w:szCs w:val="24"/>
        </w:rPr>
      </w:pPr>
      <w:r>
        <w:rPr>
          <w:rFonts w:ascii="Times New Roman" w:hAnsi="Times New Roman"/>
          <w:sz w:val="24"/>
        </w:rPr>
        <w:t>T</w:t>
      </w:r>
      <w:r>
        <w:rPr>
          <w:rFonts w:ascii="Times New Roman" w:hAnsi="Times New Roman"/>
          <w:sz w:val="24"/>
        </w:rPr>
        <w:t>he Academic Achievement Scholarships granted to the students of the Department of Pilot Training at the School of Civil Aviation cover only the tuition fee; therefore, flight training fees are not included in the scope of this scholarship.</w:t>
      </w:r>
    </w:p>
    <w:p w:rsidR="00A75793" w:rsidRDefault="00A75793" w:rsidP="00AC22C3">
      <w:pPr>
        <w:rPr>
          <w:rFonts w:ascii="Times New Roman" w:eastAsia="Times New Roman" w:hAnsi="Times New Roman" w:cs="Times New Roman"/>
          <w:sz w:val="24"/>
          <w:szCs w:val="24"/>
        </w:rPr>
      </w:pPr>
    </w:p>
    <w:p w:rsidR="00A75793" w:rsidRDefault="00227ED8" w:rsidP="001A0DC4">
      <w:pPr>
        <w:pStyle w:val="ListeParagraf"/>
        <w:numPr>
          <w:ilvl w:val="1"/>
          <w:numId w:val="8"/>
        </w:numPr>
        <w:tabs>
          <w:tab w:val="left" w:pos="489"/>
        </w:tabs>
        <w:ind w:left="0" w:firstLine="0"/>
        <w:jc w:val="both"/>
        <w:rPr>
          <w:rFonts w:ascii="Times New Roman" w:eastAsia="Times New Roman" w:hAnsi="Times New Roman" w:cs="Times New Roman"/>
          <w:sz w:val="24"/>
          <w:szCs w:val="24"/>
        </w:rPr>
      </w:pPr>
      <w:r>
        <w:rPr>
          <w:rFonts w:ascii="Times New Roman" w:hAnsi="Times New Roman"/>
          <w:sz w:val="24"/>
        </w:rPr>
        <w:t>The students wh</w:t>
      </w:r>
      <w:r>
        <w:rPr>
          <w:rFonts w:ascii="Times New Roman" w:hAnsi="Times New Roman"/>
          <w:sz w:val="24"/>
        </w:rPr>
        <w:t>o meet the achievement criteria specified in the Regulations at the end of normal period of study may not be granted an Academic Achievement Scholarship.</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rFonts w:cs="Times New Roman"/>
          <w:b w:val="0"/>
          <w:bCs w:val="0"/>
        </w:rPr>
      </w:pPr>
      <w:r>
        <w:t>D</w:t>
      </w:r>
      <w:r>
        <w:t>.) Athlete Scholarship</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ListeParagraf"/>
        <w:numPr>
          <w:ilvl w:val="0"/>
          <w:numId w:val="5"/>
        </w:numPr>
        <w:tabs>
          <w:tab w:val="left" w:pos="452"/>
        </w:tabs>
        <w:ind w:left="0" w:firstLine="0"/>
        <w:jc w:val="both"/>
        <w:rPr>
          <w:rFonts w:ascii="Times New Roman" w:eastAsia="Times New Roman" w:hAnsi="Times New Roman" w:cs="Times New Roman"/>
          <w:sz w:val="24"/>
          <w:szCs w:val="24"/>
        </w:rPr>
      </w:pPr>
      <w:r>
        <w:rPr>
          <w:rFonts w:ascii="Times New Roman" w:hAnsi="Times New Roman"/>
          <w:sz w:val="24"/>
        </w:rPr>
        <w:t>This scholarship cons</w:t>
      </w:r>
      <w:r>
        <w:rPr>
          <w:rFonts w:ascii="Times New Roman" w:hAnsi="Times New Roman"/>
          <w:sz w:val="24"/>
        </w:rPr>
        <w:t>titutes a discount awarded to students participating in competitions on behalf of the University and in the sports fields where the University competes.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5"/>
        </w:numPr>
        <w:tabs>
          <w:tab w:val="left" w:pos="465"/>
        </w:tabs>
        <w:ind w:left="0" w:firstLine="0"/>
        <w:jc w:val="both"/>
        <w:rPr>
          <w:rFonts w:ascii="Times New Roman" w:eastAsia="Times New Roman" w:hAnsi="Times New Roman" w:cs="Times New Roman"/>
          <w:sz w:val="24"/>
          <w:szCs w:val="24"/>
        </w:rPr>
      </w:pPr>
      <w:r>
        <w:rPr>
          <w:rFonts w:ascii="Times New Roman" w:hAnsi="Times New Roman"/>
          <w:sz w:val="24"/>
        </w:rPr>
        <w:t>The students wishing to benefit from the sports scholarship are required to submit</w:t>
      </w:r>
      <w:r>
        <w:rPr>
          <w:rFonts w:ascii="Times New Roman" w:hAnsi="Times New Roman"/>
          <w:sz w:val="24"/>
        </w:rPr>
        <w:t xml:space="preserve"> the information and documents related to their national and international participation, studies, achievements, and records to the Directorate of Sports in a portfolio.</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5"/>
        </w:numPr>
        <w:tabs>
          <w:tab w:val="left" w:pos="464"/>
        </w:tabs>
        <w:ind w:left="0" w:firstLine="0"/>
        <w:jc w:val="both"/>
        <w:rPr>
          <w:rFonts w:ascii="Times New Roman" w:eastAsia="Times New Roman" w:hAnsi="Times New Roman" w:cs="Times New Roman"/>
          <w:sz w:val="24"/>
          <w:szCs w:val="24"/>
        </w:rPr>
      </w:pPr>
      <w:r>
        <w:rPr>
          <w:rFonts w:ascii="Times New Roman" w:hAnsi="Times New Roman"/>
          <w:sz w:val="24"/>
        </w:rPr>
        <w:t>The Athlete Scholarship eligibility status of students depends primarily on their academic achievements, while also on their participation in university teams in their field of sports. The Board of Trustees determines the fields and the students to be awar</w:t>
      </w:r>
      <w:r>
        <w:rPr>
          <w:rFonts w:ascii="Times New Roman" w:hAnsi="Times New Roman"/>
          <w:sz w:val="24"/>
        </w:rPr>
        <w:t>ded the discount upon the recommendation by the Directorate of Sports and the Directorate of Social Affairs, and the approval of the President. Athlete Scholarships are granted for a year and do not grant the students the right to receive further discounts</w:t>
      </w:r>
      <w:r>
        <w:rPr>
          <w:rFonts w:ascii="Times New Roman" w:hAnsi="Times New Roman"/>
          <w:sz w:val="24"/>
        </w:rPr>
        <w:t xml:space="preserve"> in the following years.</w:t>
      </w:r>
    </w:p>
    <w:p w:rsidR="00A75793" w:rsidRDefault="00A75793" w:rsidP="00AC22C3">
      <w:pPr>
        <w:rPr>
          <w:rFonts w:ascii="Times New Roman" w:eastAsia="Times New Roman" w:hAnsi="Times New Roman" w:cs="Times New Roman"/>
          <w:sz w:val="24"/>
          <w:szCs w:val="24"/>
        </w:rPr>
      </w:pPr>
    </w:p>
    <w:p w:rsidR="001A0DC4" w:rsidRPr="001A0DC4" w:rsidRDefault="00227ED8" w:rsidP="001A0DC4">
      <w:pPr>
        <w:pStyle w:val="ListeParagraf"/>
        <w:numPr>
          <w:ilvl w:val="0"/>
          <w:numId w:val="5"/>
        </w:numPr>
        <w:tabs>
          <w:tab w:val="left" w:pos="483"/>
        </w:tabs>
        <w:ind w:left="0" w:firstLine="0"/>
        <w:jc w:val="both"/>
      </w:pPr>
      <w:r>
        <w:rPr>
          <w:rFonts w:ascii="Times New Roman" w:hAnsi="Times New Roman"/>
          <w:sz w:val="24"/>
        </w:rPr>
        <w:t>Athlete Scholarship students are required to advance to their majors after having completed the preparatory English education at the Department of Basic English in their first year, or to achieve a GPA of 2.00 at the end of the ac</w:t>
      </w:r>
      <w:r>
        <w:rPr>
          <w:rFonts w:ascii="Times New Roman" w:hAnsi="Times New Roman"/>
          <w:sz w:val="24"/>
        </w:rPr>
        <w:t>ademic year if already pursuing their major, to have their discount carried over to the next academic year.</w:t>
      </w:r>
    </w:p>
    <w:p w:rsidR="00A75793" w:rsidRDefault="001A0DC4" w:rsidP="001A0DC4">
      <w:pPr>
        <w:pStyle w:val="ListeParagraf"/>
        <w:tabs>
          <w:tab w:val="left" w:pos="483"/>
        </w:tabs>
        <w:jc w:val="both"/>
        <w:sectPr w:rsidR="00A75793">
          <w:pgSz w:w="11910" w:h="16840"/>
          <w:pgMar w:top="1060" w:right="1300" w:bottom="280" w:left="1300" w:header="720" w:footer="720" w:gutter="0"/>
          <w:cols w:space="720"/>
        </w:sectPr>
      </w:pPr>
      <w:r>
        <w:t xml:space="preserve"> </w:t>
      </w:r>
    </w:p>
    <w:p w:rsidR="00A75793" w:rsidRDefault="00227ED8" w:rsidP="00AC22C3">
      <w:pPr>
        <w:pStyle w:val="ListeParagraf"/>
        <w:numPr>
          <w:ilvl w:val="0"/>
          <w:numId w:val="5"/>
        </w:numPr>
        <w:tabs>
          <w:tab w:val="left" w:pos="464"/>
        </w:tabs>
        <w:spacing w:before="56"/>
        <w:ind w:left="0" w:firstLine="0"/>
        <w:jc w:val="both"/>
        <w:rPr>
          <w:rFonts w:ascii="Times New Roman" w:eastAsia="Times New Roman" w:hAnsi="Times New Roman" w:cs="Times New Roman"/>
          <w:sz w:val="24"/>
          <w:szCs w:val="24"/>
        </w:rPr>
      </w:pPr>
      <w:r>
        <w:rPr>
          <w:rFonts w:ascii="Times New Roman" w:hAnsi="Times New Roman"/>
          <w:sz w:val="24"/>
          <w:szCs w:val="24"/>
        </w:rPr>
        <w:lastRenderedPageBreak/>
        <w:t>S</w:t>
      </w:r>
      <w:r>
        <w:rPr>
          <w:rFonts w:ascii="Times New Roman" w:hAnsi="Times New Roman"/>
          <w:sz w:val="24"/>
          <w:szCs w:val="24"/>
        </w:rPr>
        <w:t>tudents wishing to benefit from their athlete scholarships throughout</w:t>
      </w:r>
      <w:r>
        <w:rPr>
          <w:rFonts w:ascii="Times New Roman" w:hAnsi="Times New Roman"/>
          <w:sz w:val="24"/>
          <w:szCs w:val="24"/>
        </w:rPr>
        <w:t xml:space="preserve"> the relevant academic year are also required to exhibit no unjust cases of non-attendance to the activities where their participation is expected under their university team (training sessions, games, competitions, meetings etc.); or not be dismissed from</w:t>
      </w:r>
      <w:r>
        <w:rPr>
          <w:rFonts w:ascii="Times New Roman" w:hAnsi="Times New Roman"/>
          <w:sz w:val="24"/>
          <w:szCs w:val="24"/>
        </w:rPr>
        <w:t xml:space="preserve"> their relevant team by Atılım University Sports Affairs Board of Ethics on the grounds of actions violating the Athlete’s Code of Ethics of Atılım University.</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5"/>
        </w:numPr>
        <w:tabs>
          <w:tab w:val="left" w:pos="513"/>
        </w:tabs>
        <w:ind w:left="0" w:firstLine="0"/>
        <w:jc w:val="both"/>
        <w:rPr>
          <w:rFonts w:ascii="Times New Roman" w:eastAsia="Times New Roman" w:hAnsi="Times New Roman" w:cs="Times New Roman"/>
          <w:sz w:val="24"/>
          <w:szCs w:val="24"/>
        </w:rPr>
      </w:pPr>
      <w:r>
        <w:rPr>
          <w:rFonts w:ascii="Times New Roman" w:hAnsi="Times New Roman"/>
          <w:sz w:val="24"/>
          <w:szCs w:val="24"/>
        </w:rPr>
        <w:t>In cases where the violations provided in Subclause 5, the athlete scholarships of such student</w:t>
      </w:r>
      <w:r>
        <w:rPr>
          <w:rFonts w:ascii="Times New Roman" w:hAnsi="Times New Roman"/>
          <w:sz w:val="24"/>
          <w:szCs w:val="24"/>
        </w:rPr>
        <w:t>s are terminated upon a resolution by Atılım University Sports Affairs Board of Ethics regarding their dismissal from their relevant team. In this case, the student shall be required to pay the tuition fee for the relevant academic year, previously exempte</w:t>
      </w:r>
      <w:r>
        <w:rPr>
          <w:rFonts w:ascii="Times New Roman" w:hAnsi="Times New Roman"/>
          <w:sz w:val="24"/>
          <w:szCs w:val="24"/>
        </w:rPr>
        <w:t>d on the grounds of the scholarship that is no longer applicable. Failure to complete the tuition fee payment constitutes action to be taken as per the provisions on students failing to complete their registration transactions under the provisions of Atılı</w:t>
      </w:r>
      <w:r>
        <w:rPr>
          <w:rFonts w:ascii="Times New Roman" w:hAnsi="Times New Roman"/>
          <w:sz w:val="24"/>
          <w:szCs w:val="24"/>
        </w:rPr>
        <w:t>m University Regulations on Associate and Undergraduate Education and Examination.</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rFonts w:cs="Times New Roman"/>
          <w:b w:val="0"/>
          <w:bCs w:val="0"/>
        </w:rPr>
      </w:pPr>
      <w:r>
        <w:t xml:space="preserve">E.) </w:t>
      </w:r>
      <w:r>
        <w:t>Incentive Discount</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ListeParagraf"/>
        <w:numPr>
          <w:ilvl w:val="0"/>
          <w:numId w:val="4"/>
        </w:numPr>
        <w:tabs>
          <w:tab w:val="left" w:pos="457"/>
        </w:tabs>
        <w:ind w:left="0" w:firstLine="0"/>
        <w:jc w:val="both"/>
        <w:rPr>
          <w:rFonts w:ascii="Times New Roman" w:eastAsia="Times New Roman" w:hAnsi="Times New Roman" w:cs="Times New Roman"/>
          <w:sz w:val="24"/>
          <w:szCs w:val="24"/>
        </w:rPr>
      </w:pPr>
      <w:r>
        <w:rPr>
          <w:rFonts w:ascii="Times New Roman" w:hAnsi="Times New Roman"/>
          <w:sz w:val="24"/>
        </w:rPr>
        <w:t>This discount is granted to students who are unable to afford higher education.</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4"/>
        </w:numPr>
        <w:tabs>
          <w:tab w:val="left" w:pos="521"/>
        </w:tabs>
        <w:ind w:left="0" w:firstLine="0"/>
        <w:jc w:val="both"/>
        <w:rPr>
          <w:rFonts w:ascii="Times New Roman" w:eastAsia="Times New Roman" w:hAnsi="Times New Roman" w:cs="Times New Roman"/>
          <w:sz w:val="24"/>
          <w:szCs w:val="24"/>
        </w:rPr>
      </w:pPr>
      <w:r>
        <w:rPr>
          <w:rFonts w:ascii="Times New Roman" w:hAnsi="Times New Roman"/>
          <w:sz w:val="24"/>
        </w:rPr>
        <w:t>This scholarship is for students who are unable to afford their tuition fees and aims to encourage them to continue their higher education, and achieve more. Students who are eligible are determined by the Board of Trustees every year, and are exempted fro</w:t>
      </w:r>
      <w:r>
        <w:rPr>
          <w:rFonts w:ascii="Times New Roman" w:hAnsi="Times New Roman"/>
          <w:sz w:val="24"/>
        </w:rPr>
        <w:t>m a certain predetermined portion of the tuition fee.</w:t>
      </w:r>
    </w:p>
    <w:p w:rsidR="00A75793" w:rsidRDefault="00A75793" w:rsidP="00AC22C3">
      <w:pPr>
        <w:rPr>
          <w:rFonts w:ascii="Times New Roman" w:eastAsia="Times New Roman" w:hAnsi="Times New Roman" w:cs="Times New Roman"/>
          <w:sz w:val="24"/>
          <w:szCs w:val="24"/>
        </w:rPr>
      </w:pPr>
    </w:p>
    <w:p w:rsidR="00A75793" w:rsidRDefault="00227ED8" w:rsidP="001A0DC4">
      <w:pPr>
        <w:pStyle w:val="ListeParagraf"/>
        <w:numPr>
          <w:ilvl w:val="0"/>
          <w:numId w:val="4"/>
        </w:numPr>
        <w:tabs>
          <w:tab w:val="left" w:pos="457"/>
        </w:tabs>
        <w:ind w:left="0" w:firstLine="0"/>
        <w:jc w:val="both"/>
        <w:rPr>
          <w:rFonts w:ascii="Times New Roman" w:eastAsia="Times New Roman" w:hAnsi="Times New Roman" w:cs="Times New Roman"/>
          <w:sz w:val="24"/>
          <w:szCs w:val="24"/>
        </w:rPr>
      </w:pPr>
      <w:r>
        <w:rPr>
          <w:rFonts w:ascii="Times New Roman" w:hAnsi="Times New Roman"/>
          <w:sz w:val="24"/>
        </w:rPr>
        <w:t>The scholarship is granted for one academic year.</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rFonts w:cs="Times New Roman"/>
          <w:b w:val="0"/>
          <w:bCs w:val="0"/>
        </w:rPr>
      </w:pPr>
      <w:r>
        <w:t>F.) Atılım University Member Scholarship</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ListeParagraf"/>
        <w:numPr>
          <w:ilvl w:val="0"/>
          <w:numId w:val="3"/>
        </w:numPr>
        <w:tabs>
          <w:tab w:val="left" w:pos="574"/>
        </w:tabs>
        <w:ind w:left="0" w:firstLine="0"/>
        <w:jc w:val="both"/>
        <w:rPr>
          <w:rFonts w:ascii="Times New Roman" w:eastAsia="Times New Roman" w:hAnsi="Times New Roman" w:cs="Times New Roman"/>
          <w:sz w:val="24"/>
          <w:szCs w:val="24"/>
        </w:rPr>
      </w:pPr>
      <w:r>
        <w:rPr>
          <w:rFonts w:ascii="Times New Roman" w:hAnsi="Times New Roman"/>
          <w:sz w:val="24"/>
        </w:rPr>
        <w:t>This scholarship is granted to the children of our full-time academic and administrative personnel who are r</w:t>
      </w:r>
      <w:r>
        <w:rPr>
          <w:rFonts w:ascii="Times New Roman" w:hAnsi="Times New Roman"/>
          <w:sz w:val="24"/>
        </w:rPr>
        <w:t>egistered in undergraduate programs of Atılım University.</w:t>
      </w:r>
    </w:p>
    <w:p w:rsidR="00A75793" w:rsidRDefault="00A75793" w:rsidP="00AC22C3">
      <w:pPr>
        <w:rPr>
          <w:rFonts w:ascii="Times New Roman" w:eastAsia="Times New Roman" w:hAnsi="Times New Roman" w:cs="Times New Roman"/>
          <w:sz w:val="24"/>
          <w:szCs w:val="24"/>
        </w:rPr>
      </w:pPr>
    </w:p>
    <w:p w:rsidR="00A75793" w:rsidRDefault="00227ED8" w:rsidP="001A0DC4">
      <w:pPr>
        <w:pStyle w:val="ListeParagraf"/>
        <w:numPr>
          <w:ilvl w:val="0"/>
          <w:numId w:val="3"/>
        </w:numPr>
        <w:tabs>
          <w:tab w:val="left" w:pos="494"/>
        </w:tabs>
        <w:ind w:left="0" w:firstLine="0"/>
        <w:jc w:val="both"/>
        <w:rPr>
          <w:rFonts w:ascii="Times New Roman" w:eastAsia="Times New Roman" w:hAnsi="Times New Roman" w:cs="Times New Roman"/>
          <w:sz w:val="24"/>
          <w:szCs w:val="24"/>
        </w:rPr>
      </w:pPr>
      <w:r>
        <w:rPr>
          <w:rFonts w:ascii="Times New Roman" w:hAnsi="Times New Roman"/>
          <w:sz w:val="24"/>
        </w:rPr>
        <w:t>Children of our full time academic and administrative personnel who are admitted and registered in the undergraduate programs of Atılım University are granted a 50% scholarship.</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3"/>
        </w:numPr>
        <w:tabs>
          <w:tab w:val="left" w:pos="478"/>
        </w:tabs>
        <w:ind w:left="0" w:firstLine="0"/>
        <w:jc w:val="both"/>
        <w:rPr>
          <w:rFonts w:ascii="Times New Roman" w:eastAsia="Times New Roman" w:hAnsi="Times New Roman" w:cs="Times New Roman"/>
          <w:sz w:val="24"/>
          <w:szCs w:val="24"/>
        </w:rPr>
      </w:pPr>
      <w:r>
        <w:rPr>
          <w:rFonts w:ascii="Times New Roman" w:hAnsi="Times New Roman"/>
          <w:sz w:val="24"/>
        </w:rPr>
        <w:t>Students in the Department of Basic English for their preparatory English training are exempted from tuition fees depending on thei</w:t>
      </w:r>
      <w:r>
        <w:rPr>
          <w:rFonts w:ascii="Times New Roman" w:hAnsi="Times New Roman"/>
          <w:sz w:val="24"/>
        </w:rPr>
        <w:t>r scholarship for a maximum of 10 semesters including the preparatory school; whereas the ones beginning their undergraduate programs directly or are enrolled in programs in Turkish are granted a scholarship for a maximum of 8 semesters, regardless of thei</w:t>
      </w:r>
      <w:r>
        <w:rPr>
          <w:rFonts w:ascii="Times New Roman" w:hAnsi="Times New Roman"/>
          <w:sz w:val="24"/>
        </w:rPr>
        <w:t>r academic achievement status.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GvdeMetni"/>
        <w:ind w:left="0"/>
        <w:jc w:val="both"/>
      </w:pPr>
      <w:r>
        <w:t>4) Among the students placed in the School of Medicine with scholarships or discounts as per their YKS results, the ones in the Department of Basic English are exempted from tuition fees depending on their scholarship rates for a maximum of 14 semesters in</w:t>
      </w:r>
      <w:r>
        <w:t>cluding preparatory school; however, the ones beginning medical education directly are granted scholarship for a maximum of 12 semesters regardless of their academic achievement status.</w:t>
      </w:r>
    </w:p>
    <w:p w:rsidR="00A75793" w:rsidRDefault="00A75793" w:rsidP="00AC22C3">
      <w:pPr>
        <w:rPr>
          <w:rFonts w:ascii="Times New Roman" w:eastAsia="Times New Roman" w:hAnsi="Times New Roman" w:cs="Times New Roman"/>
          <w:sz w:val="24"/>
          <w:szCs w:val="24"/>
        </w:rPr>
      </w:pPr>
    </w:p>
    <w:p w:rsidR="00A75793" w:rsidRDefault="00227ED8" w:rsidP="001A0DC4">
      <w:pPr>
        <w:pStyle w:val="GvdeMetni"/>
        <w:ind w:left="0"/>
        <w:jc w:val="both"/>
      </w:pPr>
      <w:r>
        <w:t>(5) The discount no longer applies when the academic and administrati</w:t>
      </w:r>
      <w:r>
        <w:t>ve personnel in question quits regardless of their reason.</w:t>
      </w:r>
    </w:p>
    <w:p w:rsidR="00A75793" w:rsidRDefault="00A75793" w:rsidP="00AC22C3">
      <w:pPr>
        <w:jc w:val="both"/>
        <w:sectPr w:rsidR="00A75793">
          <w:pgSz w:w="11910" w:h="16840"/>
          <w:pgMar w:top="1060" w:right="1300" w:bottom="280" w:left="1300" w:header="720" w:footer="720" w:gutter="0"/>
          <w:cols w:space="720"/>
        </w:sectPr>
      </w:pPr>
    </w:p>
    <w:p w:rsidR="00A75793" w:rsidRDefault="00227ED8" w:rsidP="00AC22C3">
      <w:pPr>
        <w:pStyle w:val="Balk1"/>
        <w:spacing w:before="56"/>
        <w:ind w:left="0"/>
        <w:jc w:val="both"/>
        <w:rPr>
          <w:rFonts w:cs="Times New Roman"/>
          <w:b w:val="0"/>
          <w:bCs w:val="0"/>
        </w:rPr>
      </w:pPr>
      <w:r>
        <w:lastRenderedPageBreak/>
        <w:t xml:space="preserve">G.) </w:t>
      </w:r>
      <w:r>
        <w:t>Sibling Discount</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ListeParagraf"/>
        <w:numPr>
          <w:ilvl w:val="0"/>
          <w:numId w:val="2"/>
        </w:numPr>
        <w:tabs>
          <w:tab w:val="left" w:pos="533"/>
        </w:tabs>
        <w:ind w:left="0" w:firstLine="0"/>
        <w:jc w:val="both"/>
        <w:rPr>
          <w:rFonts w:ascii="Times New Roman" w:eastAsia="Times New Roman" w:hAnsi="Times New Roman" w:cs="Times New Roman"/>
          <w:sz w:val="24"/>
          <w:szCs w:val="24"/>
        </w:rPr>
      </w:pPr>
      <w:r>
        <w:rPr>
          <w:rFonts w:ascii="Times New Roman" w:hAnsi="Times New Roman"/>
          <w:sz w:val="24"/>
        </w:rPr>
        <w:t>This is the discount granted to the siblings of graduates of Atılım University undergraduate program, and those of current A</w:t>
      </w:r>
      <w:r>
        <w:rPr>
          <w:rFonts w:ascii="Times New Roman" w:hAnsi="Times New Roman"/>
          <w:sz w:val="24"/>
        </w:rPr>
        <w:t>tılım University students, not registered with a full discount.</w:t>
      </w:r>
    </w:p>
    <w:p w:rsidR="00A75793" w:rsidRDefault="00A75793" w:rsidP="00AC22C3">
      <w:pPr>
        <w:rPr>
          <w:rFonts w:ascii="Times New Roman" w:eastAsia="Times New Roman" w:hAnsi="Times New Roman" w:cs="Times New Roman"/>
          <w:sz w:val="24"/>
          <w:szCs w:val="24"/>
        </w:rPr>
      </w:pPr>
    </w:p>
    <w:p w:rsidR="00A75793" w:rsidRDefault="00227ED8" w:rsidP="001A0DC4">
      <w:pPr>
        <w:pStyle w:val="ListeParagraf"/>
        <w:numPr>
          <w:ilvl w:val="0"/>
          <w:numId w:val="2"/>
        </w:numPr>
        <w:tabs>
          <w:tab w:val="left" w:pos="457"/>
        </w:tabs>
        <w:ind w:left="0" w:firstLine="0"/>
        <w:jc w:val="both"/>
        <w:rPr>
          <w:rFonts w:ascii="Times New Roman" w:eastAsia="Times New Roman" w:hAnsi="Times New Roman" w:cs="Times New Roman"/>
          <w:sz w:val="24"/>
          <w:szCs w:val="24"/>
        </w:rPr>
      </w:pPr>
      <w:r>
        <w:rPr>
          <w:rFonts w:ascii="Times New Roman" w:hAnsi="Times New Roman"/>
          <w:sz w:val="24"/>
          <w:szCs w:val="24"/>
        </w:rPr>
        <w:t>Each sibling is granted a tuition fee discount of 5%.</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2"/>
        </w:numPr>
        <w:tabs>
          <w:tab w:val="left" w:pos="498"/>
        </w:tabs>
        <w:ind w:left="0" w:firstLine="0"/>
        <w:jc w:val="both"/>
        <w:rPr>
          <w:rFonts w:ascii="Times New Roman" w:eastAsia="Times New Roman" w:hAnsi="Times New Roman" w:cs="Times New Roman"/>
          <w:sz w:val="24"/>
          <w:szCs w:val="24"/>
        </w:rPr>
      </w:pPr>
      <w:r>
        <w:rPr>
          <w:rFonts w:ascii="Times New Roman" w:hAnsi="Times New Roman"/>
          <w:sz w:val="24"/>
        </w:rPr>
        <w:t>The scholarship shall be terminated on the condition that one of the siblings leaves the University for any reason, except for graduatio</w:t>
      </w:r>
      <w:r>
        <w:rPr>
          <w:rFonts w:ascii="Times New Roman" w:hAnsi="Times New Roman"/>
          <w:sz w:val="24"/>
        </w:rPr>
        <w:t>n.</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rFonts w:cs="Times New Roman"/>
          <w:b w:val="0"/>
          <w:bCs w:val="0"/>
        </w:rPr>
      </w:pPr>
      <w:r>
        <w:t>Scholarship - Discount Grant, Principles and Procedures</w:t>
      </w:r>
    </w:p>
    <w:p w:rsidR="00A75793" w:rsidRDefault="00227ED8" w:rsidP="00AC22C3">
      <w:pPr>
        <w:jc w:val="both"/>
        <w:rPr>
          <w:rFonts w:ascii="Times New Roman" w:eastAsia="Times New Roman" w:hAnsi="Times New Roman" w:cs="Times New Roman"/>
          <w:sz w:val="24"/>
          <w:szCs w:val="24"/>
        </w:rPr>
      </w:pPr>
      <w:r>
        <w:rPr>
          <w:rFonts w:ascii="Times New Roman"/>
          <w:b/>
          <w:sz w:val="24"/>
        </w:rPr>
        <w:t>Article 4:</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ListeParagraf"/>
        <w:numPr>
          <w:ilvl w:val="0"/>
          <w:numId w:val="1"/>
        </w:numPr>
        <w:tabs>
          <w:tab w:val="left" w:pos="473"/>
        </w:tabs>
        <w:ind w:left="0" w:firstLine="0"/>
        <w:jc w:val="both"/>
        <w:rPr>
          <w:rFonts w:ascii="Times New Roman" w:eastAsia="Times New Roman" w:hAnsi="Times New Roman" w:cs="Times New Roman"/>
          <w:sz w:val="24"/>
          <w:szCs w:val="24"/>
        </w:rPr>
      </w:pPr>
      <w:r>
        <w:rPr>
          <w:rFonts w:ascii="Times New Roman" w:hAnsi="Times New Roman"/>
          <w:sz w:val="24"/>
        </w:rPr>
        <w:t xml:space="preserve">Scholarship and discount quotas are determined by the Board of Trustees every year. </w:t>
      </w:r>
      <w:r>
        <w:rPr>
          <w:rFonts w:ascii="Times New Roman" w:hAnsi="Times New Roman"/>
          <w:sz w:val="24"/>
        </w:rPr>
        <w:t>The Presidency presents the Board of Trustees with the achievement status of students at the end of each academic year.   Students eligible for scholarships and discounts as per the regulations are notified accordingly; based on the allocated budget, and q</w:t>
      </w:r>
      <w:r>
        <w:rPr>
          <w:rFonts w:ascii="Times New Roman" w:hAnsi="Times New Roman"/>
          <w:sz w:val="24"/>
        </w:rPr>
        <w:t>uotas.</w:t>
      </w:r>
    </w:p>
    <w:p w:rsidR="00A75793" w:rsidRDefault="00A75793" w:rsidP="00AC22C3">
      <w:pPr>
        <w:rPr>
          <w:rFonts w:ascii="Times New Roman" w:eastAsia="Times New Roman" w:hAnsi="Times New Roman" w:cs="Times New Roman"/>
          <w:sz w:val="24"/>
          <w:szCs w:val="24"/>
        </w:rPr>
      </w:pPr>
    </w:p>
    <w:p w:rsidR="001A0DC4" w:rsidRDefault="00227ED8" w:rsidP="001A0DC4">
      <w:pPr>
        <w:pStyle w:val="ListeParagraf"/>
        <w:numPr>
          <w:ilvl w:val="0"/>
          <w:numId w:val="1"/>
        </w:numPr>
        <w:tabs>
          <w:tab w:val="left" w:pos="488"/>
        </w:tabs>
        <w:ind w:left="0" w:firstLine="0"/>
        <w:jc w:val="both"/>
        <w:rPr>
          <w:rFonts w:ascii="Times New Roman" w:eastAsia="Times New Roman" w:hAnsi="Times New Roman" w:cs="Times New Roman"/>
          <w:sz w:val="24"/>
          <w:szCs w:val="24"/>
        </w:rPr>
      </w:pPr>
      <w:r>
        <w:rPr>
          <w:rFonts w:ascii="Times New Roman" w:hAnsi="Times New Roman"/>
          <w:sz w:val="24"/>
        </w:rPr>
        <w:t>The Board of Trustees may appoint a commission for the selection of students who are eligible as per the regulations.</w:t>
      </w:r>
    </w:p>
    <w:p w:rsidR="001A0DC4" w:rsidRPr="001A0DC4" w:rsidRDefault="001A0DC4" w:rsidP="001A0DC4">
      <w:pPr>
        <w:pStyle w:val="ListeParagraf"/>
        <w:rPr>
          <w:rFonts w:ascii="Times New Roman" w:hAnsi="Times New Roman"/>
          <w:sz w:val="24"/>
          <w:szCs w:val="24"/>
        </w:rPr>
      </w:pPr>
    </w:p>
    <w:p w:rsidR="00A75793" w:rsidRPr="001A0DC4" w:rsidRDefault="00227ED8" w:rsidP="001A0DC4">
      <w:pPr>
        <w:pStyle w:val="ListeParagraf"/>
        <w:numPr>
          <w:ilvl w:val="0"/>
          <w:numId w:val="1"/>
        </w:numPr>
        <w:tabs>
          <w:tab w:val="left" w:pos="488"/>
        </w:tabs>
        <w:ind w:left="0" w:firstLine="0"/>
        <w:jc w:val="both"/>
        <w:rPr>
          <w:rFonts w:ascii="Times New Roman" w:eastAsia="Times New Roman" w:hAnsi="Times New Roman" w:cs="Times New Roman"/>
          <w:sz w:val="24"/>
          <w:szCs w:val="24"/>
        </w:rPr>
      </w:pPr>
      <w:r w:rsidRPr="001A0DC4">
        <w:rPr>
          <w:rFonts w:ascii="Times New Roman" w:hAnsi="Times New Roman"/>
          <w:sz w:val="24"/>
          <w:szCs w:val="24"/>
        </w:rPr>
        <w:t>A</w:t>
      </w:r>
      <w:r w:rsidRPr="001A0DC4">
        <w:rPr>
          <w:rFonts w:ascii="Times New Roman" w:hAnsi="Times New Roman"/>
          <w:sz w:val="24"/>
          <w:szCs w:val="24"/>
        </w:rPr>
        <w:t>.a) YKS Scholarship, A.b) DGS Scholarship, B.) Student Transfer Scholarship, and F.) Atılım University Member Discount Schol</w:t>
      </w:r>
      <w:r w:rsidRPr="001A0DC4">
        <w:rPr>
          <w:rFonts w:ascii="Times New Roman" w:hAnsi="Times New Roman"/>
          <w:sz w:val="24"/>
          <w:szCs w:val="24"/>
        </w:rPr>
        <w:t>arship students who fail to graduate at the end of the determined periods of study shall lose 50% of their scholarships or discounts in the next academic year. Students failing to graduate at the end of this extension period shall lose their scholarships o</w:t>
      </w:r>
      <w:r w:rsidRPr="001A0DC4">
        <w:rPr>
          <w:rFonts w:ascii="Times New Roman" w:hAnsi="Times New Roman"/>
          <w:sz w:val="24"/>
          <w:szCs w:val="24"/>
        </w:rPr>
        <w:t>r discounts in whole.</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
        </w:numPr>
        <w:tabs>
          <w:tab w:val="left" w:pos="467"/>
        </w:tabs>
        <w:ind w:left="0" w:firstLine="0"/>
        <w:jc w:val="both"/>
        <w:rPr>
          <w:rFonts w:ascii="Times New Roman" w:eastAsia="Times New Roman" w:hAnsi="Times New Roman" w:cs="Times New Roman"/>
          <w:sz w:val="24"/>
          <w:szCs w:val="24"/>
        </w:rPr>
      </w:pPr>
      <w:r>
        <w:rPr>
          <w:rFonts w:ascii="Times New Roman" w:hAnsi="Times New Roman"/>
          <w:sz w:val="24"/>
        </w:rPr>
        <w:t>Students who registered in associate or undergraduate programs of Atılım University with a scholarship or a discount, but changed their department through student transfer shall lose their scholarship.</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
        </w:numPr>
        <w:tabs>
          <w:tab w:val="left" w:pos="478"/>
        </w:tabs>
        <w:ind w:left="0" w:firstLine="0"/>
        <w:jc w:val="both"/>
        <w:rPr>
          <w:rFonts w:ascii="Times New Roman" w:eastAsia="Times New Roman" w:hAnsi="Times New Roman" w:cs="Times New Roman"/>
          <w:sz w:val="24"/>
          <w:szCs w:val="24"/>
        </w:rPr>
      </w:pPr>
      <w:r>
        <w:rPr>
          <w:rFonts w:ascii="Times New Roman" w:hAnsi="Times New Roman"/>
          <w:sz w:val="24"/>
        </w:rPr>
        <w:t>Students graduating from any u</w:t>
      </w:r>
      <w:r>
        <w:rPr>
          <w:rFonts w:ascii="Times New Roman" w:hAnsi="Times New Roman"/>
          <w:sz w:val="24"/>
        </w:rPr>
        <w:t>ndergraduate program of 4 or more years, including Open Education programs, are not eligible for 100% scholarships, the Academic Achievement Scholarship presented in Subparagraph C) of Article 3 of these Regulations, and ot</w:t>
      </w:r>
      <w:r w:rsidR="001A0DC4">
        <w:rPr>
          <w:rFonts w:ascii="Times New Roman" w:hAnsi="Times New Roman"/>
          <w:sz w:val="24"/>
        </w:rPr>
        <w:t xml:space="preserve">her scholarships and discounts. </w:t>
      </w:r>
      <w:r>
        <w:rPr>
          <w:rFonts w:ascii="Times New Roman" w:hAnsi="Times New Roman"/>
          <w:sz w:val="24"/>
        </w:rPr>
        <w:t>Students registering to undergraduate degree programs with no non-scholarship (paid) quotas as announced in the ÖSYM Quota and Placement Guide of their year of registration may receive a discount to match the lowest possible scholarship amount.</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
        </w:numPr>
        <w:tabs>
          <w:tab w:val="left" w:pos="525"/>
        </w:tabs>
        <w:ind w:left="0" w:firstLine="0"/>
        <w:jc w:val="both"/>
        <w:rPr>
          <w:rFonts w:ascii="Times New Roman" w:eastAsia="Times New Roman" w:hAnsi="Times New Roman" w:cs="Times New Roman"/>
          <w:sz w:val="24"/>
          <w:szCs w:val="24"/>
        </w:rPr>
      </w:pPr>
      <w:r>
        <w:rPr>
          <w:rFonts w:ascii="Times New Roman" w:hAnsi="Times New Roman"/>
          <w:sz w:val="24"/>
        </w:rPr>
        <w:t>Students</w:t>
      </w:r>
      <w:r>
        <w:rPr>
          <w:rFonts w:ascii="Times New Roman" w:hAnsi="Times New Roman"/>
          <w:sz w:val="24"/>
        </w:rPr>
        <w:t xml:space="preserve"> previously deregistered from Atılım University; and those re-placing and re-registering in Atılım University as per their YKS results while registered to Atılım University are not eligible for 100% scholarships, the Academic Achievement Scholarship as pre</w:t>
      </w:r>
      <w:r>
        <w:rPr>
          <w:rFonts w:ascii="Times New Roman" w:hAnsi="Times New Roman"/>
          <w:sz w:val="24"/>
        </w:rPr>
        <w:t>sented in Subparagraph C) of Article 3 of these Regulations, or other discounts and scholarships.   Students registering to undergraduate degree programs with no non-scholarship (paid) quotas as announced in the ÖSYM Quota and Placement Guide of their year</w:t>
      </w:r>
      <w:r>
        <w:rPr>
          <w:rFonts w:ascii="Times New Roman" w:hAnsi="Times New Roman"/>
          <w:sz w:val="24"/>
        </w:rPr>
        <w:t xml:space="preserve"> of registration may receive a discount to match the lowest possible scholarship amount.</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
        </w:numPr>
        <w:tabs>
          <w:tab w:val="left" w:pos="482"/>
        </w:tabs>
        <w:ind w:left="0" w:firstLine="0"/>
        <w:jc w:val="both"/>
        <w:rPr>
          <w:rFonts w:ascii="Times New Roman" w:eastAsia="Times New Roman" w:hAnsi="Times New Roman" w:cs="Times New Roman"/>
          <w:sz w:val="24"/>
          <w:szCs w:val="24"/>
        </w:rPr>
      </w:pPr>
      <w:r>
        <w:rPr>
          <w:rFonts w:ascii="Times New Roman" w:hAnsi="Times New Roman"/>
          <w:sz w:val="24"/>
        </w:rPr>
        <w:t>Students having been subject to a disciplinary action other than a warning by the University as per the Regulations on Student Discipline for Higher Education Institu</w:t>
      </w:r>
      <w:r>
        <w:rPr>
          <w:rFonts w:ascii="Times New Roman" w:hAnsi="Times New Roman"/>
          <w:sz w:val="24"/>
        </w:rPr>
        <w:t>tions lose their discounts and scholarships forever, excluding their YKS scholarships, and they are deemed ineligible for any future scholarship or discount opportunities.</w:t>
      </w:r>
    </w:p>
    <w:p w:rsidR="00A75793" w:rsidRDefault="00A75793" w:rsidP="00AC22C3">
      <w:pPr>
        <w:jc w:val="both"/>
        <w:rPr>
          <w:rFonts w:ascii="Times New Roman" w:eastAsia="Times New Roman" w:hAnsi="Times New Roman" w:cs="Times New Roman"/>
          <w:sz w:val="24"/>
          <w:szCs w:val="24"/>
        </w:rPr>
        <w:sectPr w:rsidR="00A75793">
          <w:pgSz w:w="11910" w:h="16840"/>
          <w:pgMar w:top="1060" w:right="1300" w:bottom="280" w:left="1300" w:header="720" w:footer="720" w:gutter="0"/>
          <w:cols w:space="720"/>
        </w:sectPr>
      </w:pPr>
    </w:p>
    <w:p w:rsidR="00A75793" w:rsidRDefault="00227ED8" w:rsidP="00AC22C3">
      <w:pPr>
        <w:pStyle w:val="ListeParagraf"/>
        <w:numPr>
          <w:ilvl w:val="0"/>
          <w:numId w:val="1"/>
        </w:numPr>
        <w:tabs>
          <w:tab w:val="left" w:pos="495"/>
        </w:tabs>
        <w:spacing w:before="56"/>
        <w:ind w:left="0" w:firstLine="0"/>
        <w:jc w:val="both"/>
        <w:rPr>
          <w:rFonts w:ascii="Times New Roman" w:eastAsia="Times New Roman" w:hAnsi="Times New Roman" w:cs="Times New Roman"/>
          <w:sz w:val="24"/>
          <w:szCs w:val="24"/>
        </w:rPr>
      </w:pPr>
      <w:r>
        <w:rPr>
          <w:rFonts w:ascii="Times New Roman" w:hAnsi="Times New Roman"/>
          <w:sz w:val="24"/>
        </w:rPr>
        <w:lastRenderedPageBreak/>
        <w:t>Scholarships or discounts only cover tuition fees, and receiving students shall not also be granted scholarships or discounts on other fees (such as summer school fees, fees for their last two courses, and one-course exam fees.)</w:t>
      </w:r>
    </w:p>
    <w:p w:rsidR="00A75793" w:rsidRDefault="00A75793" w:rsidP="00AC22C3">
      <w:pPr>
        <w:rPr>
          <w:rFonts w:ascii="Times New Roman" w:eastAsia="Times New Roman" w:hAnsi="Times New Roman" w:cs="Times New Roman"/>
          <w:sz w:val="24"/>
          <w:szCs w:val="24"/>
        </w:rPr>
      </w:pPr>
    </w:p>
    <w:p w:rsidR="00A75793" w:rsidRDefault="00227ED8" w:rsidP="001A0DC4">
      <w:pPr>
        <w:pStyle w:val="ListeParagraf"/>
        <w:numPr>
          <w:ilvl w:val="0"/>
          <w:numId w:val="1"/>
        </w:numPr>
        <w:tabs>
          <w:tab w:val="left" w:pos="452"/>
        </w:tabs>
        <w:ind w:left="0" w:firstLine="0"/>
        <w:jc w:val="both"/>
        <w:rPr>
          <w:rFonts w:ascii="Times New Roman" w:eastAsia="Times New Roman" w:hAnsi="Times New Roman" w:cs="Times New Roman"/>
          <w:sz w:val="24"/>
          <w:szCs w:val="24"/>
        </w:rPr>
      </w:pPr>
      <w:r>
        <w:rPr>
          <w:rFonts w:ascii="Times New Roman" w:hAnsi="Times New Roman"/>
          <w:sz w:val="24"/>
        </w:rPr>
        <w:t>Scholarships and discounts</w:t>
      </w:r>
      <w:r>
        <w:rPr>
          <w:rFonts w:ascii="Times New Roman" w:hAnsi="Times New Roman"/>
          <w:sz w:val="24"/>
        </w:rPr>
        <w:t xml:space="preserve"> are calculated from the first semester of assignment of students.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
        </w:numPr>
        <w:tabs>
          <w:tab w:val="left" w:pos="632"/>
        </w:tabs>
        <w:ind w:left="0" w:firstLine="0"/>
        <w:jc w:val="both"/>
        <w:rPr>
          <w:rFonts w:ascii="Times New Roman" w:eastAsia="Times New Roman" w:hAnsi="Times New Roman" w:cs="Times New Roman"/>
          <w:sz w:val="24"/>
          <w:szCs w:val="24"/>
        </w:rPr>
      </w:pPr>
      <w:r>
        <w:rPr>
          <w:rFonts w:ascii="Times New Roman" w:hAnsi="Times New Roman"/>
          <w:sz w:val="24"/>
        </w:rPr>
        <w:t>Scholarships and discounts are non-refundable.  If the normal period of study/ scholarship specified in the Regulations is exceeded, students shall not be granted a scholarship or an exemp</w:t>
      </w:r>
      <w:r>
        <w:rPr>
          <w:rFonts w:ascii="Times New Roman" w:hAnsi="Times New Roman"/>
          <w:sz w:val="24"/>
        </w:rPr>
        <w:t>tion in the exceeding semesters.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
        </w:numPr>
        <w:tabs>
          <w:tab w:val="left" w:pos="579"/>
        </w:tabs>
        <w:ind w:left="0" w:firstLine="0"/>
        <w:jc w:val="both"/>
        <w:rPr>
          <w:rFonts w:ascii="Times New Roman" w:eastAsia="Times New Roman" w:hAnsi="Times New Roman" w:cs="Times New Roman"/>
          <w:sz w:val="24"/>
          <w:szCs w:val="24"/>
        </w:rPr>
      </w:pPr>
      <w:r>
        <w:rPr>
          <w:rFonts w:ascii="Times New Roman" w:hAnsi="Times New Roman"/>
          <w:sz w:val="24"/>
        </w:rPr>
        <w:t>Students who meet the criteria for multiple scholarships or discounts may receive only one scholarship or discount.</w:t>
      </w:r>
    </w:p>
    <w:p w:rsidR="00A75793" w:rsidRDefault="00A75793" w:rsidP="00AC22C3">
      <w:pPr>
        <w:rPr>
          <w:rFonts w:ascii="Times New Roman" w:eastAsia="Times New Roman" w:hAnsi="Times New Roman" w:cs="Times New Roman"/>
          <w:sz w:val="24"/>
          <w:szCs w:val="24"/>
        </w:rPr>
      </w:pPr>
    </w:p>
    <w:p w:rsidR="00A75793" w:rsidRDefault="00227ED8" w:rsidP="00AC22C3">
      <w:pPr>
        <w:pStyle w:val="ListeParagraf"/>
        <w:numPr>
          <w:ilvl w:val="0"/>
          <w:numId w:val="1"/>
        </w:numPr>
        <w:tabs>
          <w:tab w:val="left" w:pos="570"/>
        </w:tabs>
        <w:ind w:left="0" w:firstLine="0"/>
        <w:jc w:val="both"/>
        <w:rPr>
          <w:rFonts w:ascii="Times New Roman" w:eastAsia="Times New Roman" w:hAnsi="Times New Roman" w:cs="Times New Roman"/>
          <w:sz w:val="24"/>
          <w:szCs w:val="24"/>
        </w:rPr>
      </w:pPr>
      <w:r>
        <w:rPr>
          <w:rFonts w:ascii="Times New Roman" w:hAnsi="Times New Roman"/>
          <w:sz w:val="24"/>
        </w:rPr>
        <w:t>The discount or scholarship ratio for students meeting the criteria for multiple scholarships or discount</w:t>
      </w:r>
      <w:r>
        <w:rPr>
          <w:rFonts w:ascii="Times New Roman" w:hAnsi="Times New Roman"/>
          <w:sz w:val="24"/>
        </w:rPr>
        <w:t>s is rounded up to the greatest amount for which they are eligible.</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b w:val="0"/>
          <w:bCs w:val="0"/>
        </w:rPr>
      </w:pPr>
      <w:r>
        <w:t>Termination and Cancellation of Scholarships - Discounts</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GvdeMetni"/>
        <w:ind w:left="0"/>
        <w:jc w:val="both"/>
      </w:pPr>
      <w:r>
        <w:rPr>
          <w:b/>
        </w:rPr>
        <w:t xml:space="preserve">Article 5: </w:t>
      </w:r>
      <w:r>
        <w:t>Scholarships of students who do not meet the criteria specified in the Regulations shall be terminated.</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rFonts w:cs="Times New Roman"/>
          <w:b w:val="0"/>
          <w:bCs w:val="0"/>
        </w:rPr>
      </w:pPr>
      <w:r>
        <w:t>Amendment</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GvdeMetni"/>
        <w:ind w:left="0"/>
        <w:jc w:val="both"/>
        <w:rPr>
          <w:rFonts w:cs="Times New Roman"/>
        </w:rPr>
      </w:pPr>
      <w:r>
        <w:rPr>
          <w:b/>
        </w:rPr>
        <w:t xml:space="preserve">Article 6: </w:t>
      </w:r>
      <w:r>
        <w:t>The Board of Trustees may change the relevant articles of the Regulations at any time in order to encourage students and improve their success.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b w:val="0"/>
          <w:bCs w:val="0"/>
        </w:rPr>
      </w:pPr>
      <w:r>
        <w:t>Effective Date</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GvdeMetni"/>
        <w:ind w:left="0"/>
        <w:jc w:val="both"/>
      </w:pPr>
      <w:r>
        <w:t xml:space="preserve">Article 7: </w:t>
      </w:r>
      <w:r>
        <w:t xml:space="preserve">This Regulations shall enter into effect as of the Academic Year of </w:t>
      </w:r>
      <w:r>
        <w:t>2023-</w:t>
      </w:r>
      <w:r>
        <w:t>2024.</w:t>
      </w:r>
    </w:p>
    <w:p w:rsidR="001A0DC4" w:rsidRDefault="001A0DC4" w:rsidP="00AC22C3">
      <w:pPr>
        <w:pStyle w:val="GvdeMetni"/>
        <w:ind w:left="0"/>
        <w:jc w:val="both"/>
      </w:pPr>
    </w:p>
    <w:p w:rsidR="00A75793" w:rsidRDefault="00227ED8" w:rsidP="00AC22C3">
      <w:pPr>
        <w:pStyle w:val="Balk1"/>
        <w:ind w:left="0"/>
        <w:jc w:val="both"/>
        <w:rPr>
          <w:b w:val="0"/>
          <w:bCs w:val="0"/>
        </w:rPr>
      </w:pPr>
      <w:r>
        <w:t>Execution</w:t>
      </w:r>
    </w:p>
    <w:p w:rsidR="00A75793" w:rsidRDefault="00A75793" w:rsidP="00AC22C3">
      <w:pPr>
        <w:rPr>
          <w:rFonts w:ascii="Times New Roman" w:eastAsia="Times New Roman" w:hAnsi="Times New Roman" w:cs="Times New Roman"/>
          <w:b/>
          <w:bCs/>
          <w:sz w:val="24"/>
          <w:szCs w:val="24"/>
        </w:rPr>
      </w:pPr>
    </w:p>
    <w:p w:rsidR="00A75793" w:rsidRDefault="00227ED8" w:rsidP="00AC22C3">
      <w:pPr>
        <w:pStyle w:val="GvdeMetni"/>
        <w:ind w:left="0"/>
        <w:jc w:val="both"/>
      </w:pPr>
      <w:r>
        <w:rPr>
          <w:b/>
        </w:rPr>
        <w:t xml:space="preserve">Article 8: </w:t>
      </w:r>
      <w:r>
        <w:t>The Chairperson of the Board of Trustees shall execute the provisions of these Regulations.</w:t>
      </w:r>
    </w:p>
    <w:p w:rsidR="00A75793" w:rsidRDefault="00A75793" w:rsidP="00AC22C3">
      <w:pPr>
        <w:rPr>
          <w:rFonts w:ascii="Times New Roman" w:eastAsia="Times New Roman" w:hAnsi="Times New Roman" w:cs="Times New Roman"/>
          <w:sz w:val="24"/>
          <w:szCs w:val="24"/>
        </w:rPr>
      </w:pPr>
    </w:p>
    <w:p w:rsidR="00A75793" w:rsidRDefault="00227ED8" w:rsidP="00AC22C3">
      <w:pPr>
        <w:pStyle w:val="Balk1"/>
        <w:ind w:left="0"/>
        <w:jc w:val="both"/>
        <w:rPr>
          <w:b w:val="0"/>
          <w:bCs w:val="0"/>
        </w:rPr>
      </w:pPr>
      <w:r>
        <w:t>Provisional Article 1-</w:t>
      </w:r>
    </w:p>
    <w:p w:rsidR="00A75793" w:rsidRDefault="00227ED8" w:rsidP="00AC22C3">
      <w:pPr>
        <w:pStyle w:val="GvdeMetni"/>
        <w:ind w:left="0"/>
        <w:jc w:val="both"/>
        <w:rPr>
          <w:rFonts w:cs="Times New Roman"/>
        </w:rPr>
      </w:pPr>
      <w:r>
        <w:t>Scholarship and discount students who have received their benefits before the amendment of these Regulations are</w:t>
      </w:r>
      <w:r>
        <w:t xml:space="preserve"> subjected to the provisions of the scholarship and discount regulations of their year of registration.</w:t>
      </w:r>
      <w:bookmarkStart w:id="0" w:name="_GoBack"/>
      <w:bookmarkEnd w:id="0"/>
    </w:p>
    <w:sectPr w:rsidR="00A75793">
      <w:pgSz w:w="11910" w:h="16840"/>
      <w:pgMar w:top="10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D8" w:rsidRDefault="00227ED8" w:rsidP="00AC22C3">
      <w:r>
        <w:separator/>
      </w:r>
    </w:p>
  </w:endnote>
  <w:endnote w:type="continuationSeparator" w:id="0">
    <w:p w:rsidR="00227ED8" w:rsidRDefault="00227ED8" w:rsidP="00AC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D8" w:rsidRDefault="00227ED8" w:rsidP="00AC22C3">
      <w:r>
        <w:separator/>
      </w:r>
    </w:p>
  </w:footnote>
  <w:footnote w:type="continuationSeparator" w:id="0">
    <w:p w:rsidR="00227ED8" w:rsidRDefault="00227ED8" w:rsidP="00AC22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84E"/>
    <w:multiLevelType w:val="hybridMultilevel"/>
    <w:tmpl w:val="B3069CBA"/>
    <w:lvl w:ilvl="0" w:tplc="1194A198">
      <w:start w:val="1"/>
      <w:numFmt w:val="decimal"/>
      <w:lvlText w:val="(%1)"/>
      <w:lvlJc w:val="left"/>
      <w:pPr>
        <w:ind w:left="117" w:hanging="351"/>
        <w:jc w:val="left"/>
      </w:pPr>
      <w:rPr>
        <w:rFonts w:ascii="Times New Roman" w:eastAsia="Times New Roman" w:hAnsi="Times New Roman" w:hint="default"/>
        <w:sz w:val="24"/>
        <w:szCs w:val="24"/>
      </w:rPr>
    </w:lvl>
    <w:lvl w:ilvl="1" w:tplc="E44A9D7E">
      <w:start w:val="1"/>
      <w:numFmt w:val="decimal"/>
      <w:lvlText w:val="(%2)"/>
      <w:lvlJc w:val="left"/>
      <w:pPr>
        <w:ind w:left="117" w:hanging="330"/>
        <w:jc w:val="right"/>
      </w:pPr>
      <w:rPr>
        <w:rFonts w:ascii="Times New Roman" w:eastAsia="Times New Roman" w:hAnsi="Times New Roman" w:hint="default"/>
        <w:sz w:val="24"/>
        <w:szCs w:val="24"/>
      </w:rPr>
    </w:lvl>
    <w:lvl w:ilvl="2" w:tplc="5D364254">
      <w:start w:val="1"/>
      <w:numFmt w:val="bullet"/>
      <w:lvlText w:val="•"/>
      <w:lvlJc w:val="left"/>
      <w:pPr>
        <w:ind w:left="1957" w:hanging="330"/>
      </w:pPr>
      <w:rPr>
        <w:rFonts w:hint="default"/>
      </w:rPr>
    </w:lvl>
    <w:lvl w:ilvl="3" w:tplc="01B011F8">
      <w:start w:val="1"/>
      <w:numFmt w:val="bullet"/>
      <w:lvlText w:val="•"/>
      <w:lvlJc w:val="left"/>
      <w:pPr>
        <w:ind w:left="2875" w:hanging="330"/>
      </w:pPr>
      <w:rPr>
        <w:rFonts w:hint="default"/>
      </w:rPr>
    </w:lvl>
    <w:lvl w:ilvl="4" w:tplc="AD24C502">
      <w:start w:val="1"/>
      <w:numFmt w:val="bullet"/>
      <w:lvlText w:val="•"/>
      <w:lvlJc w:val="left"/>
      <w:pPr>
        <w:ind w:left="3794" w:hanging="330"/>
      </w:pPr>
      <w:rPr>
        <w:rFonts w:hint="default"/>
      </w:rPr>
    </w:lvl>
    <w:lvl w:ilvl="5" w:tplc="99AA8948">
      <w:start w:val="1"/>
      <w:numFmt w:val="bullet"/>
      <w:lvlText w:val="•"/>
      <w:lvlJc w:val="left"/>
      <w:pPr>
        <w:ind w:left="4713" w:hanging="330"/>
      </w:pPr>
      <w:rPr>
        <w:rFonts w:hint="default"/>
      </w:rPr>
    </w:lvl>
    <w:lvl w:ilvl="6" w:tplc="0C0EE4F8">
      <w:start w:val="1"/>
      <w:numFmt w:val="bullet"/>
      <w:lvlText w:val="•"/>
      <w:lvlJc w:val="left"/>
      <w:pPr>
        <w:ind w:left="5631" w:hanging="330"/>
      </w:pPr>
      <w:rPr>
        <w:rFonts w:hint="default"/>
      </w:rPr>
    </w:lvl>
    <w:lvl w:ilvl="7" w:tplc="7E7CEF86">
      <w:start w:val="1"/>
      <w:numFmt w:val="bullet"/>
      <w:lvlText w:val="•"/>
      <w:lvlJc w:val="left"/>
      <w:pPr>
        <w:ind w:left="6550" w:hanging="330"/>
      </w:pPr>
      <w:rPr>
        <w:rFonts w:hint="default"/>
      </w:rPr>
    </w:lvl>
    <w:lvl w:ilvl="8" w:tplc="874A8EE8">
      <w:start w:val="1"/>
      <w:numFmt w:val="bullet"/>
      <w:lvlText w:val="•"/>
      <w:lvlJc w:val="left"/>
      <w:pPr>
        <w:ind w:left="7468" w:hanging="330"/>
      </w:pPr>
      <w:rPr>
        <w:rFonts w:hint="default"/>
      </w:rPr>
    </w:lvl>
  </w:abstractNum>
  <w:abstractNum w:abstractNumId="1" w15:restartNumberingAfterBreak="0">
    <w:nsid w:val="08D34908"/>
    <w:multiLevelType w:val="hybridMultilevel"/>
    <w:tmpl w:val="E86E5D76"/>
    <w:lvl w:ilvl="0" w:tplc="CAF0F89E">
      <w:start w:val="1"/>
      <w:numFmt w:val="decimal"/>
      <w:lvlText w:val="(%1)"/>
      <w:lvlJc w:val="left"/>
      <w:pPr>
        <w:ind w:left="117" w:hanging="335"/>
        <w:jc w:val="left"/>
      </w:pPr>
      <w:rPr>
        <w:rFonts w:ascii="Times New Roman" w:eastAsia="Times New Roman" w:hAnsi="Times New Roman" w:hint="default"/>
        <w:sz w:val="24"/>
        <w:szCs w:val="24"/>
      </w:rPr>
    </w:lvl>
    <w:lvl w:ilvl="1" w:tplc="486EF7DA">
      <w:start w:val="1"/>
      <w:numFmt w:val="bullet"/>
      <w:lvlText w:val="•"/>
      <w:lvlJc w:val="left"/>
      <w:pPr>
        <w:ind w:left="1038" w:hanging="335"/>
      </w:pPr>
      <w:rPr>
        <w:rFonts w:hint="default"/>
      </w:rPr>
    </w:lvl>
    <w:lvl w:ilvl="2" w:tplc="148476DA">
      <w:start w:val="1"/>
      <w:numFmt w:val="bullet"/>
      <w:lvlText w:val="•"/>
      <w:lvlJc w:val="left"/>
      <w:pPr>
        <w:ind w:left="1957" w:hanging="335"/>
      </w:pPr>
      <w:rPr>
        <w:rFonts w:hint="default"/>
      </w:rPr>
    </w:lvl>
    <w:lvl w:ilvl="3" w:tplc="2D5EC0E4">
      <w:start w:val="1"/>
      <w:numFmt w:val="bullet"/>
      <w:lvlText w:val="•"/>
      <w:lvlJc w:val="left"/>
      <w:pPr>
        <w:ind w:left="2875" w:hanging="335"/>
      </w:pPr>
      <w:rPr>
        <w:rFonts w:hint="default"/>
      </w:rPr>
    </w:lvl>
    <w:lvl w:ilvl="4" w:tplc="99365C5A">
      <w:start w:val="1"/>
      <w:numFmt w:val="bullet"/>
      <w:lvlText w:val="•"/>
      <w:lvlJc w:val="left"/>
      <w:pPr>
        <w:ind w:left="3794" w:hanging="335"/>
      </w:pPr>
      <w:rPr>
        <w:rFonts w:hint="default"/>
      </w:rPr>
    </w:lvl>
    <w:lvl w:ilvl="5" w:tplc="84A66E2C">
      <w:start w:val="1"/>
      <w:numFmt w:val="bullet"/>
      <w:lvlText w:val="•"/>
      <w:lvlJc w:val="left"/>
      <w:pPr>
        <w:ind w:left="4713" w:hanging="335"/>
      </w:pPr>
      <w:rPr>
        <w:rFonts w:hint="default"/>
      </w:rPr>
    </w:lvl>
    <w:lvl w:ilvl="6" w:tplc="1F94C14A">
      <w:start w:val="1"/>
      <w:numFmt w:val="bullet"/>
      <w:lvlText w:val="•"/>
      <w:lvlJc w:val="left"/>
      <w:pPr>
        <w:ind w:left="5631" w:hanging="335"/>
      </w:pPr>
      <w:rPr>
        <w:rFonts w:hint="default"/>
      </w:rPr>
    </w:lvl>
    <w:lvl w:ilvl="7" w:tplc="CAD03FD2">
      <w:start w:val="1"/>
      <w:numFmt w:val="bullet"/>
      <w:lvlText w:val="•"/>
      <w:lvlJc w:val="left"/>
      <w:pPr>
        <w:ind w:left="6550" w:hanging="335"/>
      </w:pPr>
      <w:rPr>
        <w:rFonts w:hint="default"/>
      </w:rPr>
    </w:lvl>
    <w:lvl w:ilvl="8" w:tplc="DAF22DB6">
      <w:start w:val="1"/>
      <w:numFmt w:val="bullet"/>
      <w:lvlText w:val="•"/>
      <w:lvlJc w:val="left"/>
      <w:pPr>
        <w:ind w:left="7468" w:hanging="335"/>
      </w:pPr>
      <w:rPr>
        <w:rFonts w:hint="default"/>
      </w:rPr>
    </w:lvl>
  </w:abstractNum>
  <w:abstractNum w:abstractNumId="2" w15:restartNumberingAfterBreak="0">
    <w:nsid w:val="2A583AFC"/>
    <w:multiLevelType w:val="hybridMultilevel"/>
    <w:tmpl w:val="0DFAA4B6"/>
    <w:lvl w:ilvl="0" w:tplc="7D2A3DCC">
      <w:start w:val="1"/>
      <w:numFmt w:val="lowerLetter"/>
      <w:lvlText w:val="%1)"/>
      <w:lvlJc w:val="left"/>
      <w:pPr>
        <w:ind w:left="1197" w:hanging="360"/>
        <w:jc w:val="left"/>
      </w:pPr>
      <w:rPr>
        <w:rFonts w:ascii="Times New Roman" w:eastAsia="Times New Roman" w:hAnsi="Times New Roman" w:hint="default"/>
        <w:sz w:val="24"/>
        <w:szCs w:val="24"/>
      </w:rPr>
    </w:lvl>
    <w:lvl w:ilvl="1" w:tplc="461282AA">
      <w:start w:val="1"/>
      <w:numFmt w:val="bullet"/>
      <w:lvlText w:val="•"/>
      <w:lvlJc w:val="left"/>
      <w:pPr>
        <w:ind w:left="2010" w:hanging="360"/>
      </w:pPr>
      <w:rPr>
        <w:rFonts w:hint="default"/>
      </w:rPr>
    </w:lvl>
    <w:lvl w:ilvl="2" w:tplc="3586E614">
      <w:start w:val="1"/>
      <w:numFmt w:val="bullet"/>
      <w:lvlText w:val="•"/>
      <w:lvlJc w:val="left"/>
      <w:pPr>
        <w:ind w:left="2821" w:hanging="360"/>
      </w:pPr>
      <w:rPr>
        <w:rFonts w:hint="default"/>
      </w:rPr>
    </w:lvl>
    <w:lvl w:ilvl="3" w:tplc="1ECE2174">
      <w:start w:val="1"/>
      <w:numFmt w:val="bullet"/>
      <w:lvlText w:val="•"/>
      <w:lvlJc w:val="left"/>
      <w:pPr>
        <w:ind w:left="3631" w:hanging="360"/>
      </w:pPr>
      <w:rPr>
        <w:rFonts w:hint="default"/>
      </w:rPr>
    </w:lvl>
    <w:lvl w:ilvl="4" w:tplc="AE00D76A">
      <w:start w:val="1"/>
      <w:numFmt w:val="bullet"/>
      <w:lvlText w:val="•"/>
      <w:lvlJc w:val="left"/>
      <w:pPr>
        <w:ind w:left="4442" w:hanging="360"/>
      </w:pPr>
      <w:rPr>
        <w:rFonts w:hint="default"/>
      </w:rPr>
    </w:lvl>
    <w:lvl w:ilvl="5" w:tplc="B1C668CC">
      <w:start w:val="1"/>
      <w:numFmt w:val="bullet"/>
      <w:lvlText w:val="•"/>
      <w:lvlJc w:val="left"/>
      <w:pPr>
        <w:ind w:left="5253" w:hanging="360"/>
      </w:pPr>
      <w:rPr>
        <w:rFonts w:hint="default"/>
      </w:rPr>
    </w:lvl>
    <w:lvl w:ilvl="6" w:tplc="E3D2A98A">
      <w:start w:val="1"/>
      <w:numFmt w:val="bullet"/>
      <w:lvlText w:val="•"/>
      <w:lvlJc w:val="left"/>
      <w:pPr>
        <w:ind w:left="6063" w:hanging="360"/>
      </w:pPr>
      <w:rPr>
        <w:rFonts w:hint="default"/>
      </w:rPr>
    </w:lvl>
    <w:lvl w:ilvl="7" w:tplc="7C1CC196">
      <w:start w:val="1"/>
      <w:numFmt w:val="bullet"/>
      <w:lvlText w:val="•"/>
      <w:lvlJc w:val="left"/>
      <w:pPr>
        <w:ind w:left="6874" w:hanging="360"/>
      </w:pPr>
      <w:rPr>
        <w:rFonts w:hint="default"/>
      </w:rPr>
    </w:lvl>
    <w:lvl w:ilvl="8" w:tplc="3C3ADD50">
      <w:start w:val="1"/>
      <w:numFmt w:val="bullet"/>
      <w:lvlText w:val="•"/>
      <w:lvlJc w:val="left"/>
      <w:pPr>
        <w:ind w:left="7684" w:hanging="360"/>
      </w:pPr>
      <w:rPr>
        <w:rFonts w:hint="default"/>
      </w:rPr>
    </w:lvl>
  </w:abstractNum>
  <w:abstractNum w:abstractNumId="3" w15:restartNumberingAfterBreak="0">
    <w:nsid w:val="2A885307"/>
    <w:multiLevelType w:val="hybridMultilevel"/>
    <w:tmpl w:val="06FC45B0"/>
    <w:lvl w:ilvl="0" w:tplc="C4743F40">
      <w:start w:val="1"/>
      <w:numFmt w:val="decimal"/>
      <w:lvlText w:val="(%1)"/>
      <w:lvlJc w:val="left"/>
      <w:pPr>
        <w:ind w:left="117" w:hanging="340"/>
        <w:jc w:val="left"/>
      </w:pPr>
      <w:rPr>
        <w:rFonts w:ascii="Times New Roman" w:eastAsia="Times New Roman" w:hAnsi="Times New Roman" w:hint="default"/>
        <w:sz w:val="24"/>
        <w:szCs w:val="24"/>
      </w:rPr>
    </w:lvl>
    <w:lvl w:ilvl="1" w:tplc="C5B2E744">
      <w:start w:val="1"/>
      <w:numFmt w:val="bullet"/>
      <w:lvlText w:val="•"/>
      <w:lvlJc w:val="left"/>
      <w:pPr>
        <w:ind w:left="1038" w:hanging="340"/>
      </w:pPr>
      <w:rPr>
        <w:rFonts w:hint="default"/>
      </w:rPr>
    </w:lvl>
    <w:lvl w:ilvl="2" w:tplc="9C3E9228">
      <w:start w:val="1"/>
      <w:numFmt w:val="bullet"/>
      <w:lvlText w:val="•"/>
      <w:lvlJc w:val="left"/>
      <w:pPr>
        <w:ind w:left="1957" w:hanging="340"/>
      </w:pPr>
      <w:rPr>
        <w:rFonts w:hint="default"/>
      </w:rPr>
    </w:lvl>
    <w:lvl w:ilvl="3" w:tplc="98769468">
      <w:start w:val="1"/>
      <w:numFmt w:val="bullet"/>
      <w:lvlText w:val="•"/>
      <w:lvlJc w:val="left"/>
      <w:pPr>
        <w:ind w:left="2875" w:hanging="340"/>
      </w:pPr>
      <w:rPr>
        <w:rFonts w:hint="default"/>
      </w:rPr>
    </w:lvl>
    <w:lvl w:ilvl="4" w:tplc="E0F49B8E">
      <w:start w:val="1"/>
      <w:numFmt w:val="bullet"/>
      <w:lvlText w:val="•"/>
      <w:lvlJc w:val="left"/>
      <w:pPr>
        <w:ind w:left="3794" w:hanging="340"/>
      </w:pPr>
      <w:rPr>
        <w:rFonts w:hint="default"/>
      </w:rPr>
    </w:lvl>
    <w:lvl w:ilvl="5" w:tplc="02E6A5EA">
      <w:start w:val="1"/>
      <w:numFmt w:val="bullet"/>
      <w:lvlText w:val="•"/>
      <w:lvlJc w:val="left"/>
      <w:pPr>
        <w:ind w:left="4713" w:hanging="340"/>
      </w:pPr>
      <w:rPr>
        <w:rFonts w:hint="default"/>
      </w:rPr>
    </w:lvl>
    <w:lvl w:ilvl="6" w:tplc="AD8A14A6">
      <w:start w:val="1"/>
      <w:numFmt w:val="bullet"/>
      <w:lvlText w:val="•"/>
      <w:lvlJc w:val="left"/>
      <w:pPr>
        <w:ind w:left="5631" w:hanging="340"/>
      </w:pPr>
      <w:rPr>
        <w:rFonts w:hint="default"/>
      </w:rPr>
    </w:lvl>
    <w:lvl w:ilvl="7" w:tplc="A78C2610">
      <w:start w:val="1"/>
      <w:numFmt w:val="bullet"/>
      <w:lvlText w:val="•"/>
      <w:lvlJc w:val="left"/>
      <w:pPr>
        <w:ind w:left="6550" w:hanging="340"/>
      </w:pPr>
      <w:rPr>
        <w:rFonts w:hint="default"/>
      </w:rPr>
    </w:lvl>
    <w:lvl w:ilvl="8" w:tplc="843C712C">
      <w:start w:val="1"/>
      <w:numFmt w:val="bullet"/>
      <w:lvlText w:val="•"/>
      <w:lvlJc w:val="left"/>
      <w:pPr>
        <w:ind w:left="7468" w:hanging="340"/>
      </w:pPr>
      <w:rPr>
        <w:rFonts w:hint="default"/>
      </w:rPr>
    </w:lvl>
  </w:abstractNum>
  <w:abstractNum w:abstractNumId="4" w15:restartNumberingAfterBreak="0">
    <w:nsid w:val="600A2616"/>
    <w:multiLevelType w:val="hybridMultilevel"/>
    <w:tmpl w:val="8EE43A20"/>
    <w:lvl w:ilvl="0" w:tplc="4874E7D2">
      <w:start w:val="1"/>
      <w:numFmt w:val="decimal"/>
      <w:lvlText w:val="(%1)"/>
      <w:lvlJc w:val="left"/>
      <w:pPr>
        <w:ind w:left="117" w:hanging="416"/>
        <w:jc w:val="left"/>
      </w:pPr>
      <w:rPr>
        <w:rFonts w:ascii="Times New Roman" w:eastAsia="Times New Roman" w:hAnsi="Times New Roman" w:hint="default"/>
        <w:sz w:val="24"/>
        <w:szCs w:val="24"/>
      </w:rPr>
    </w:lvl>
    <w:lvl w:ilvl="1" w:tplc="0AF0E5A0">
      <w:start w:val="1"/>
      <w:numFmt w:val="bullet"/>
      <w:lvlText w:val="•"/>
      <w:lvlJc w:val="left"/>
      <w:pPr>
        <w:ind w:left="1038" w:hanging="416"/>
      </w:pPr>
      <w:rPr>
        <w:rFonts w:hint="default"/>
      </w:rPr>
    </w:lvl>
    <w:lvl w:ilvl="2" w:tplc="E7100BBE">
      <w:start w:val="1"/>
      <w:numFmt w:val="bullet"/>
      <w:lvlText w:val="•"/>
      <w:lvlJc w:val="left"/>
      <w:pPr>
        <w:ind w:left="1957" w:hanging="416"/>
      </w:pPr>
      <w:rPr>
        <w:rFonts w:hint="default"/>
      </w:rPr>
    </w:lvl>
    <w:lvl w:ilvl="3" w:tplc="F8D8FDE0">
      <w:start w:val="1"/>
      <w:numFmt w:val="bullet"/>
      <w:lvlText w:val="•"/>
      <w:lvlJc w:val="left"/>
      <w:pPr>
        <w:ind w:left="2875" w:hanging="416"/>
      </w:pPr>
      <w:rPr>
        <w:rFonts w:hint="default"/>
      </w:rPr>
    </w:lvl>
    <w:lvl w:ilvl="4" w:tplc="192AB8E4">
      <w:start w:val="1"/>
      <w:numFmt w:val="bullet"/>
      <w:lvlText w:val="•"/>
      <w:lvlJc w:val="left"/>
      <w:pPr>
        <w:ind w:left="3794" w:hanging="416"/>
      </w:pPr>
      <w:rPr>
        <w:rFonts w:hint="default"/>
      </w:rPr>
    </w:lvl>
    <w:lvl w:ilvl="5" w:tplc="8592B40A">
      <w:start w:val="1"/>
      <w:numFmt w:val="bullet"/>
      <w:lvlText w:val="•"/>
      <w:lvlJc w:val="left"/>
      <w:pPr>
        <w:ind w:left="4713" w:hanging="416"/>
      </w:pPr>
      <w:rPr>
        <w:rFonts w:hint="default"/>
      </w:rPr>
    </w:lvl>
    <w:lvl w:ilvl="6" w:tplc="8E1067BA">
      <w:start w:val="1"/>
      <w:numFmt w:val="bullet"/>
      <w:lvlText w:val="•"/>
      <w:lvlJc w:val="left"/>
      <w:pPr>
        <w:ind w:left="5631" w:hanging="416"/>
      </w:pPr>
      <w:rPr>
        <w:rFonts w:hint="default"/>
      </w:rPr>
    </w:lvl>
    <w:lvl w:ilvl="7" w:tplc="B6E87748">
      <w:start w:val="1"/>
      <w:numFmt w:val="bullet"/>
      <w:lvlText w:val="•"/>
      <w:lvlJc w:val="left"/>
      <w:pPr>
        <w:ind w:left="6550" w:hanging="416"/>
      </w:pPr>
      <w:rPr>
        <w:rFonts w:hint="default"/>
      </w:rPr>
    </w:lvl>
    <w:lvl w:ilvl="8" w:tplc="744C03E0">
      <w:start w:val="1"/>
      <w:numFmt w:val="bullet"/>
      <w:lvlText w:val="•"/>
      <w:lvlJc w:val="left"/>
      <w:pPr>
        <w:ind w:left="7468" w:hanging="416"/>
      </w:pPr>
      <w:rPr>
        <w:rFonts w:hint="default"/>
      </w:rPr>
    </w:lvl>
  </w:abstractNum>
  <w:abstractNum w:abstractNumId="5" w15:restartNumberingAfterBreak="0">
    <w:nsid w:val="68BF238E"/>
    <w:multiLevelType w:val="hybridMultilevel"/>
    <w:tmpl w:val="87646C04"/>
    <w:lvl w:ilvl="0" w:tplc="46E07256">
      <w:start w:val="1"/>
      <w:numFmt w:val="decimal"/>
      <w:lvlText w:val="(%1)"/>
      <w:lvlJc w:val="left"/>
      <w:pPr>
        <w:ind w:left="117" w:hanging="356"/>
        <w:jc w:val="left"/>
      </w:pPr>
      <w:rPr>
        <w:rFonts w:ascii="Times New Roman" w:eastAsia="Times New Roman" w:hAnsi="Times New Roman" w:hint="default"/>
        <w:sz w:val="24"/>
        <w:szCs w:val="24"/>
      </w:rPr>
    </w:lvl>
    <w:lvl w:ilvl="1" w:tplc="AA900750">
      <w:start w:val="1"/>
      <w:numFmt w:val="bullet"/>
      <w:lvlText w:val="•"/>
      <w:lvlJc w:val="left"/>
      <w:pPr>
        <w:ind w:left="1038" w:hanging="356"/>
      </w:pPr>
      <w:rPr>
        <w:rFonts w:hint="default"/>
      </w:rPr>
    </w:lvl>
    <w:lvl w:ilvl="2" w:tplc="FF7E3860">
      <w:start w:val="1"/>
      <w:numFmt w:val="bullet"/>
      <w:lvlText w:val="•"/>
      <w:lvlJc w:val="left"/>
      <w:pPr>
        <w:ind w:left="1957" w:hanging="356"/>
      </w:pPr>
      <w:rPr>
        <w:rFonts w:hint="default"/>
      </w:rPr>
    </w:lvl>
    <w:lvl w:ilvl="3" w:tplc="05724D82">
      <w:start w:val="1"/>
      <w:numFmt w:val="bullet"/>
      <w:lvlText w:val="•"/>
      <w:lvlJc w:val="left"/>
      <w:pPr>
        <w:ind w:left="2875" w:hanging="356"/>
      </w:pPr>
      <w:rPr>
        <w:rFonts w:hint="default"/>
      </w:rPr>
    </w:lvl>
    <w:lvl w:ilvl="4" w:tplc="C93EC4F8">
      <w:start w:val="1"/>
      <w:numFmt w:val="bullet"/>
      <w:lvlText w:val="•"/>
      <w:lvlJc w:val="left"/>
      <w:pPr>
        <w:ind w:left="3794" w:hanging="356"/>
      </w:pPr>
      <w:rPr>
        <w:rFonts w:hint="default"/>
      </w:rPr>
    </w:lvl>
    <w:lvl w:ilvl="5" w:tplc="F52E6D36">
      <w:start w:val="1"/>
      <w:numFmt w:val="bullet"/>
      <w:lvlText w:val="•"/>
      <w:lvlJc w:val="left"/>
      <w:pPr>
        <w:ind w:left="4713" w:hanging="356"/>
      </w:pPr>
      <w:rPr>
        <w:rFonts w:hint="default"/>
      </w:rPr>
    </w:lvl>
    <w:lvl w:ilvl="6" w:tplc="2BD4CCFE">
      <w:start w:val="1"/>
      <w:numFmt w:val="bullet"/>
      <w:lvlText w:val="•"/>
      <w:lvlJc w:val="left"/>
      <w:pPr>
        <w:ind w:left="5631" w:hanging="356"/>
      </w:pPr>
      <w:rPr>
        <w:rFonts w:hint="default"/>
      </w:rPr>
    </w:lvl>
    <w:lvl w:ilvl="7" w:tplc="DA56A052">
      <w:start w:val="1"/>
      <w:numFmt w:val="bullet"/>
      <w:lvlText w:val="•"/>
      <w:lvlJc w:val="left"/>
      <w:pPr>
        <w:ind w:left="6550" w:hanging="356"/>
      </w:pPr>
      <w:rPr>
        <w:rFonts w:hint="default"/>
      </w:rPr>
    </w:lvl>
    <w:lvl w:ilvl="8" w:tplc="EFE85680">
      <w:start w:val="1"/>
      <w:numFmt w:val="bullet"/>
      <w:lvlText w:val="•"/>
      <w:lvlJc w:val="left"/>
      <w:pPr>
        <w:ind w:left="7468" w:hanging="356"/>
      </w:pPr>
      <w:rPr>
        <w:rFonts w:hint="default"/>
      </w:rPr>
    </w:lvl>
  </w:abstractNum>
  <w:abstractNum w:abstractNumId="6" w15:restartNumberingAfterBreak="0">
    <w:nsid w:val="6C194617"/>
    <w:multiLevelType w:val="hybridMultilevel"/>
    <w:tmpl w:val="2EE80174"/>
    <w:lvl w:ilvl="0" w:tplc="13608BFC">
      <w:start w:val="1"/>
      <w:numFmt w:val="decimal"/>
      <w:lvlText w:val="(%1)"/>
      <w:lvlJc w:val="left"/>
      <w:pPr>
        <w:ind w:left="117" w:hanging="389"/>
        <w:jc w:val="left"/>
      </w:pPr>
      <w:rPr>
        <w:rFonts w:ascii="Times New Roman" w:eastAsia="Times New Roman" w:hAnsi="Times New Roman" w:hint="default"/>
        <w:sz w:val="24"/>
        <w:szCs w:val="24"/>
      </w:rPr>
    </w:lvl>
    <w:lvl w:ilvl="1" w:tplc="D312FA90">
      <w:start w:val="1"/>
      <w:numFmt w:val="bullet"/>
      <w:lvlText w:val="•"/>
      <w:lvlJc w:val="left"/>
      <w:pPr>
        <w:ind w:left="1038" w:hanging="389"/>
      </w:pPr>
      <w:rPr>
        <w:rFonts w:hint="default"/>
      </w:rPr>
    </w:lvl>
    <w:lvl w:ilvl="2" w:tplc="1730FC62">
      <w:start w:val="1"/>
      <w:numFmt w:val="bullet"/>
      <w:lvlText w:val="•"/>
      <w:lvlJc w:val="left"/>
      <w:pPr>
        <w:ind w:left="1957" w:hanging="389"/>
      </w:pPr>
      <w:rPr>
        <w:rFonts w:hint="default"/>
      </w:rPr>
    </w:lvl>
    <w:lvl w:ilvl="3" w:tplc="D51411BA">
      <w:start w:val="1"/>
      <w:numFmt w:val="bullet"/>
      <w:lvlText w:val="•"/>
      <w:lvlJc w:val="left"/>
      <w:pPr>
        <w:ind w:left="2875" w:hanging="389"/>
      </w:pPr>
      <w:rPr>
        <w:rFonts w:hint="default"/>
      </w:rPr>
    </w:lvl>
    <w:lvl w:ilvl="4" w:tplc="59EACBF8">
      <w:start w:val="1"/>
      <w:numFmt w:val="bullet"/>
      <w:lvlText w:val="•"/>
      <w:lvlJc w:val="left"/>
      <w:pPr>
        <w:ind w:left="3794" w:hanging="389"/>
      </w:pPr>
      <w:rPr>
        <w:rFonts w:hint="default"/>
      </w:rPr>
    </w:lvl>
    <w:lvl w:ilvl="5" w:tplc="84DA0588">
      <w:start w:val="1"/>
      <w:numFmt w:val="bullet"/>
      <w:lvlText w:val="•"/>
      <w:lvlJc w:val="left"/>
      <w:pPr>
        <w:ind w:left="4713" w:hanging="389"/>
      </w:pPr>
      <w:rPr>
        <w:rFonts w:hint="default"/>
      </w:rPr>
    </w:lvl>
    <w:lvl w:ilvl="6" w:tplc="7BD07ACA">
      <w:start w:val="1"/>
      <w:numFmt w:val="bullet"/>
      <w:lvlText w:val="•"/>
      <w:lvlJc w:val="left"/>
      <w:pPr>
        <w:ind w:left="5631" w:hanging="389"/>
      </w:pPr>
      <w:rPr>
        <w:rFonts w:hint="default"/>
      </w:rPr>
    </w:lvl>
    <w:lvl w:ilvl="7" w:tplc="3A1EF426">
      <w:start w:val="1"/>
      <w:numFmt w:val="bullet"/>
      <w:lvlText w:val="•"/>
      <w:lvlJc w:val="left"/>
      <w:pPr>
        <w:ind w:left="6550" w:hanging="389"/>
      </w:pPr>
      <w:rPr>
        <w:rFonts w:hint="default"/>
      </w:rPr>
    </w:lvl>
    <w:lvl w:ilvl="8" w:tplc="E2C40FBC">
      <w:start w:val="1"/>
      <w:numFmt w:val="bullet"/>
      <w:lvlText w:val="•"/>
      <w:lvlJc w:val="left"/>
      <w:pPr>
        <w:ind w:left="7468" w:hanging="389"/>
      </w:pPr>
      <w:rPr>
        <w:rFonts w:hint="default"/>
      </w:rPr>
    </w:lvl>
  </w:abstractNum>
  <w:abstractNum w:abstractNumId="7" w15:restartNumberingAfterBreak="0">
    <w:nsid w:val="6DB044A4"/>
    <w:multiLevelType w:val="hybridMultilevel"/>
    <w:tmpl w:val="2806F08E"/>
    <w:lvl w:ilvl="0" w:tplc="3CB20558">
      <w:start w:val="1"/>
      <w:numFmt w:val="decimal"/>
      <w:lvlText w:val="(%1)"/>
      <w:lvlJc w:val="left"/>
      <w:pPr>
        <w:ind w:left="117" w:hanging="435"/>
        <w:jc w:val="right"/>
      </w:pPr>
      <w:rPr>
        <w:rFonts w:ascii="Times New Roman" w:eastAsia="Times New Roman" w:hAnsi="Times New Roman" w:hint="default"/>
        <w:sz w:val="24"/>
        <w:szCs w:val="24"/>
      </w:rPr>
    </w:lvl>
    <w:lvl w:ilvl="1" w:tplc="3C8AC428">
      <w:start w:val="1"/>
      <w:numFmt w:val="bullet"/>
      <w:lvlText w:val="•"/>
      <w:lvlJc w:val="left"/>
      <w:pPr>
        <w:ind w:left="1038" w:hanging="435"/>
      </w:pPr>
      <w:rPr>
        <w:rFonts w:hint="default"/>
      </w:rPr>
    </w:lvl>
    <w:lvl w:ilvl="2" w:tplc="A94C485A">
      <w:start w:val="1"/>
      <w:numFmt w:val="bullet"/>
      <w:lvlText w:val="•"/>
      <w:lvlJc w:val="left"/>
      <w:pPr>
        <w:ind w:left="1957" w:hanging="435"/>
      </w:pPr>
      <w:rPr>
        <w:rFonts w:hint="default"/>
      </w:rPr>
    </w:lvl>
    <w:lvl w:ilvl="3" w:tplc="327C0AE4">
      <w:start w:val="1"/>
      <w:numFmt w:val="bullet"/>
      <w:lvlText w:val="•"/>
      <w:lvlJc w:val="left"/>
      <w:pPr>
        <w:ind w:left="2875" w:hanging="435"/>
      </w:pPr>
      <w:rPr>
        <w:rFonts w:hint="default"/>
      </w:rPr>
    </w:lvl>
    <w:lvl w:ilvl="4" w:tplc="2D4C3322">
      <w:start w:val="1"/>
      <w:numFmt w:val="bullet"/>
      <w:lvlText w:val="•"/>
      <w:lvlJc w:val="left"/>
      <w:pPr>
        <w:ind w:left="3794" w:hanging="435"/>
      </w:pPr>
      <w:rPr>
        <w:rFonts w:hint="default"/>
      </w:rPr>
    </w:lvl>
    <w:lvl w:ilvl="5" w:tplc="15F84C4E">
      <w:start w:val="1"/>
      <w:numFmt w:val="bullet"/>
      <w:lvlText w:val="•"/>
      <w:lvlJc w:val="left"/>
      <w:pPr>
        <w:ind w:left="4713" w:hanging="435"/>
      </w:pPr>
      <w:rPr>
        <w:rFonts w:hint="default"/>
      </w:rPr>
    </w:lvl>
    <w:lvl w:ilvl="6" w:tplc="DAF44794">
      <w:start w:val="1"/>
      <w:numFmt w:val="bullet"/>
      <w:lvlText w:val="•"/>
      <w:lvlJc w:val="left"/>
      <w:pPr>
        <w:ind w:left="5631" w:hanging="435"/>
      </w:pPr>
      <w:rPr>
        <w:rFonts w:hint="default"/>
      </w:rPr>
    </w:lvl>
    <w:lvl w:ilvl="7" w:tplc="5A04A7CA">
      <w:start w:val="1"/>
      <w:numFmt w:val="bullet"/>
      <w:lvlText w:val="•"/>
      <w:lvlJc w:val="left"/>
      <w:pPr>
        <w:ind w:left="6550" w:hanging="435"/>
      </w:pPr>
      <w:rPr>
        <w:rFonts w:hint="default"/>
      </w:rPr>
    </w:lvl>
    <w:lvl w:ilvl="8" w:tplc="7960F5B2">
      <w:start w:val="1"/>
      <w:numFmt w:val="bullet"/>
      <w:lvlText w:val="•"/>
      <w:lvlJc w:val="left"/>
      <w:pPr>
        <w:ind w:left="7468" w:hanging="435"/>
      </w:pPr>
      <w:rPr>
        <w:rFonts w:hint="default"/>
      </w:rPr>
    </w:lvl>
  </w:abstractNum>
  <w:abstractNum w:abstractNumId="8" w15:restartNumberingAfterBreak="0">
    <w:nsid w:val="770C67A7"/>
    <w:multiLevelType w:val="hybridMultilevel"/>
    <w:tmpl w:val="87043CC8"/>
    <w:lvl w:ilvl="0" w:tplc="283E1DC4">
      <w:start w:val="1"/>
      <w:numFmt w:val="lowerLetter"/>
      <w:lvlText w:val="%1)"/>
      <w:lvlJc w:val="left"/>
      <w:pPr>
        <w:ind w:left="1197" w:hanging="360"/>
        <w:jc w:val="left"/>
      </w:pPr>
      <w:rPr>
        <w:rFonts w:ascii="Times New Roman" w:eastAsia="Times New Roman" w:hAnsi="Times New Roman" w:hint="default"/>
        <w:sz w:val="24"/>
        <w:szCs w:val="24"/>
      </w:rPr>
    </w:lvl>
    <w:lvl w:ilvl="1" w:tplc="293E74D8">
      <w:start w:val="1"/>
      <w:numFmt w:val="bullet"/>
      <w:lvlText w:val="•"/>
      <w:lvlJc w:val="left"/>
      <w:pPr>
        <w:ind w:left="2010" w:hanging="360"/>
      </w:pPr>
      <w:rPr>
        <w:rFonts w:hint="default"/>
      </w:rPr>
    </w:lvl>
    <w:lvl w:ilvl="2" w:tplc="2234B11E">
      <w:start w:val="1"/>
      <w:numFmt w:val="bullet"/>
      <w:lvlText w:val="•"/>
      <w:lvlJc w:val="left"/>
      <w:pPr>
        <w:ind w:left="2821" w:hanging="360"/>
      </w:pPr>
      <w:rPr>
        <w:rFonts w:hint="default"/>
      </w:rPr>
    </w:lvl>
    <w:lvl w:ilvl="3" w:tplc="3AFAFEE0">
      <w:start w:val="1"/>
      <w:numFmt w:val="bullet"/>
      <w:lvlText w:val="•"/>
      <w:lvlJc w:val="left"/>
      <w:pPr>
        <w:ind w:left="3631" w:hanging="360"/>
      </w:pPr>
      <w:rPr>
        <w:rFonts w:hint="default"/>
      </w:rPr>
    </w:lvl>
    <w:lvl w:ilvl="4" w:tplc="7FCE6B34">
      <w:start w:val="1"/>
      <w:numFmt w:val="bullet"/>
      <w:lvlText w:val="•"/>
      <w:lvlJc w:val="left"/>
      <w:pPr>
        <w:ind w:left="4442" w:hanging="360"/>
      </w:pPr>
      <w:rPr>
        <w:rFonts w:hint="default"/>
      </w:rPr>
    </w:lvl>
    <w:lvl w:ilvl="5" w:tplc="2C4608F2">
      <w:start w:val="1"/>
      <w:numFmt w:val="bullet"/>
      <w:lvlText w:val="•"/>
      <w:lvlJc w:val="left"/>
      <w:pPr>
        <w:ind w:left="5253" w:hanging="360"/>
      </w:pPr>
      <w:rPr>
        <w:rFonts w:hint="default"/>
      </w:rPr>
    </w:lvl>
    <w:lvl w:ilvl="6" w:tplc="A3D82126">
      <w:start w:val="1"/>
      <w:numFmt w:val="bullet"/>
      <w:lvlText w:val="•"/>
      <w:lvlJc w:val="left"/>
      <w:pPr>
        <w:ind w:left="6063" w:hanging="360"/>
      </w:pPr>
      <w:rPr>
        <w:rFonts w:hint="default"/>
      </w:rPr>
    </w:lvl>
    <w:lvl w:ilvl="7" w:tplc="37762914">
      <w:start w:val="1"/>
      <w:numFmt w:val="bullet"/>
      <w:lvlText w:val="•"/>
      <w:lvlJc w:val="left"/>
      <w:pPr>
        <w:ind w:left="6874" w:hanging="360"/>
      </w:pPr>
      <w:rPr>
        <w:rFonts w:hint="default"/>
      </w:rPr>
    </w:lvl>
    <w:lvl w:ilvl="8" w:tplc="53F436DE">
      <w:start w:val="1"/>
      <w:numFmt w:val="bullet"/>
      <w:lvlText w:val="•"/>
      <w:lvlJc w:val="left"/>
      <w:pPr>
        <w:ind w:left="7684" w:hanging="360"/>
      </w:pPr>
      <w:rPr>
        <w:rFonts w:hint="default"/>
      </w:rPr>
    </w:lvl>
  </w:abstractNum>
  <w:abstractNum w:abstractNumId="9" w15:restartNumberingAfterBreak="0">
    <w:nsid w:val="7F413DF5"/>
    <w:multiLevelType w:val="hybridMultilevel"/>
    <w:tmpl w:val="29DAE6AE"/>
    <w:lvl w:ilvl="0" w:tplc="53626878">
      <w:start w:val="1"/>
      <w:numFmt w:val="decimal"/>
      <w:lvlText w:val="(%1)"/>
      <w:lvlJc w:val="left"/>
      <w:pPr>
        <w:ind w:left="117" w:hanging="457"/>
        <w:jc w:val="left"/>
      </w:pPr>
      <w:rPr>
        <w:rFonts w:ascii="Times New Roman" w:eastAsia="Times New Roman" w:hAnsi="Times New Roman" w:hint="default"/>
        <w:sz w:val="24"/>
        <w:szCs w:val="24"/>
      </w:rPr>
    </w:lvl>
    <w:lvl w:ilvl="1" w:tplc="348C6184">
      <w:start w:val="1"/>
      <w:numFmt w:val="bullet"/>
      <w:lvlText w:val="•"/>
      <w:lvlJc w:val="left"/>
      <w:pPr>
        <w:ind w:left="1038" w:hanging="457"/>
      </w:pPr>
      <w:rPr>
        <w:rFonts w:hint="default"/>
      </w:rPr>
    </w:lvl>
    <w:lvl w:ilvl="2" w:tplc="7BB8CEA2">
      <w:start w:val="1"/>
      <w:numFmt w:val="bullet"/>
      <w:lvlText w:val="•"/>
      <w:lvlJc w:val="left"/>
      <w:pPr>
        <w:ind w:left="1957" w:hanging="457"/>
      </w:pPr>
      <w:rPr>
        <w:rFonts w:hint="default"/>
      </w:rPr>
    </w:lvl>
    <w:lvl w:ilvl="3" w:tplc="B0E27F64">
      <w:start w:val="1"/>
      <w:numFmt w:val="bullet"/>
      <w:lvlText w:val="•"/>
      <w:lvlJc w:val="left"/>
      <w:pPr>
        <w:ind w:left="2875" w:hanging="457"/>
      </w:pPr>
      <w:rPr>
        <w:rFonts w:hint="default"/>
      </w:rPr>
    </w:lvl>
    <w:lvl w:ilvl="4" w:tplc="818AF148">
      <w:start w:val="1"/>
      <w:numFmt w:val="bullet"/>
      <w:lvlText w:val="•"/>
      <w:lvlJc w:val="left"/>
      <w:pPr>
        <w:ind w:left="3794" w:hanging="457"/>
      </w:pPr>
      <w:rPr>
        <w:rFonts w:hint="default"/>
      </w:rPr>
    </w:lvl>
    <w:lvl w:ilvl="5" w:tplc="0EB69852">
      <w:start w:val="1"/>
      <w:numFmt w:val="bullet"/>
      <w:lvlText w:val="•"/>
      <w:lvlJc w:val="left"/>
      <w:pPr>
        <w:ind w:left="4713" w:hanging="457"/>
      </w:pPr>
      <w:rPr>
        <w:rFonts w:hint="default"/>
      </w:rPr>
    </w:lvl>
    <w:lvl w:ilvl="6" w:tplc="E68AE9FC">
      <w:start w:val="1"/>
      <w:numFmt w:val="bullet"/>
      <w:lvlText w:val="•"/>
      <w:lvlJc w:val="left"/>
      <w:pPr>
        <w:ind w:left="5631" w:hanging="457"/>
      </w:pPr>
      <w:rPr>
        <w:rFonts w:hint="default"/>
      </w:rPr>
    </w:lvl>
    <w:lvl w:ilvl="7" w:tplc="1B62DB20">
      <w:start w:val="1"/>
      <w:numFmt w:val="bullet"/>
      <w:lvlText w:val="•"/>
      <w:lvlJc w:val="left"/>
      <w:pPr>
        <w:ind w:left="6550" w:hanging="457"/>
      </w:pPr>
      <w:rPr>
        <w:rFonts w:hint="default"/>
      </w:rPr>
    </w:lvl>
    <w:lvl w:ilvl="8" w:tplc="178E1C92">
      <w:start w:val="1"/>
      <w:numFmt w:val="bullet"/>
      <w:lvlText w:val="•"/>
      <w:lvlJc w:val="left"/>
      <w:pPr>
        <w:ind w:left="7468" w:hanging="457"/>
      </w:pPr>
      <w:rPr>
        <w:rFonts w:hint="default"/>
      </w:rPr>
    </w:lvl>
  </w:abstractNum>
  <w:num w:numId="1">
    <w:abstractNumId w:val="5"/>
  </w:num>
  <w:num w:numId="2">
    <w:abstractNumId w:val="4"/>
  </w:num>
  <w:num w:numId="3">
    <w:abstractNumId w:val="9"/>
  </w:num>
  <w:num w:numId="4">
    <w:abstractNumId w:val="3"/>
  </w:num>
  <w:num w:numId="5">
    <w:abstractNumId w:val="1"/>
  </w:num>
  <w:num w:numId="6">
    <w:abstractNumId w:val="8"/>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75793"/>
    <w:rsid w:val="001A0DC4"/>
    <w:rsid w:val="00227ED8"/>
    <w:rsid w:val="005307B3"/>
    <w:rsid w:val="00A75793"/>
    <w:rsid w:val="00AC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08397"/>
  <w15:docId w15:val="{70E69C82-70EE-4FAD-AF9D-ED0FD73B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7"/>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C22C3"/>
    <w:pPr>
      <w:tabs>
        <w:tab w:val="center" w:pos="4703"/>
        <w:tab w:val="right" w:pos="9406"/>
      </w:tabs>
    </w:pPr>
  </w:style>
  <w:style w:type="character" w:customStyle="1" w:styleId="stBilgiChar">
    <w:name w:val="Üst Bilgi Char"/>
    <w:basedOn w:val="VarsaylanParagrafYazTipi"/>
    <w:link w:val="stBilgi"/>
    <w:uiPriority w:val="99"/>
    <w:rsid w:val="00AC22C3"/>
  </w:style>
  <w:style w:type="paragraph" w:styleId="AltBilgi">
    <w:name w:val="footer"/>
    <w:basedOn w:val="Normal"/>
    <w:link w:val="AltBilgiChar"/>
    <w:uiPriority w:val="99"/>
    <w:unhideWhenUsed/>
    <w:rsid w:val="00AC22C3"/>
    <w:pPr>
      <w:tabs>
        <w:tab w:val="center" w:pos="4703"/>
        <w:tab w:val="right" w:pos="9406"/>
      </w:tabs>
    </w:pPr>
  </w:style>
  <w:style w:type="character" w:customStyle="1" w:styleId="AltBilgiChar">
    <w:name w:val="Alt Bilgi Char"/>
    <w:basedOn w:val="VarsaylanParagrafYazTipi"/>
    <w:link w:val="AltBilgi"/>
    <w:uiPriority w:val="99"/>
    <w:rsid w:val="00AC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3045</Words>
  <Characters>17360</Characters>
  <Application>Microsoft Office Word</Application>
  <DocSecurity>0</DocSecurity>
  <Lines>144</Lines>
  <Paragraphs>40</Paragraphs>
  <ScaleCrop>false</ScaleCrop>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UNİVERSİTESİ MÜTEVELLİ HEYET TOPLANTI TUTANAĞI</dc:title>
  <dc:creator>student06</dc:creator>
  <cp:lastModifiedBy>Admin</cp:lastModifiedBy>
  <cp:revision>4</cp:revision>
  <dcterms:created xsi:type="dcterms:W3CDTF">2023-11-01T09:57:00Z</dcterms:created>
  <dcterms:modified xsi:type="dcterms:W3CDTF">2023-11-01T08:18:00Z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Office Word</vt:lpwstr>
  </property>
  <property fmtid="{D5CDD505-2E9C-101B-9397-08002B2CF9AE}" pid="4" name="LastSaved">
    <vt:filetime>2023-11-01T00:00:00Z</vt:filetime>
  </property>
</Properties>
</file>