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AE" w:rsidRDefault="004079AE" w:rsidP="004079AE">
      <w:pPr>
        <w:ind w:firstLine="567"/>
        <w:jc w:val="center"/>
      </w:pPr>
      <w:r>
        <w:rPr>
          <w:rFonts w:ascii="Calibri" w:hAnsi="Calibri"/>
          <w:b/>
          <w:bCs/>
          <w:sz w:val="22"/>
          <w:szCs w:val="22"/>
        </w:rPr>
        <w:t>REGULATIONS ON CONTINUATION TO UNDERGRADUATE DEGREE EDUCATION FOR GRADU</w:t>
      </w:r>
      <w:r w:rsidR="00C3577F">
        <w:rPr>
          <w:rFonts w:ascii="Calibri" w:hAnsi="Calibri"/>
          <w:b/>
          <w:bCs/>
          <w:sz w:val="22"/>
          <w:szCs w:val="22"/>
        </w:rPr>
        <w:t xml:space="preserve">ATES OF VOCATIONAL SCHOOLS AND </w:t>
      </w:r>
      <w:r>
        <w:rPr>
          <w:rFonts w:ascii="Calibri" w:hAnsi="Calibri"/>
          <w:b/>
          <w:bCs/>
          <w:sz w:val="22"/>
          <w:szCs w:val="22"/>
        </w:rPr>
        <w:t>OPEN EDUCATION ASSOCIATE DEGREE PROGRAMS</w:t>
      </w:r>
    </w:p>
    <w:p w:rsidR="004079AE" w:rsidRDefault="004079AE" w:rsidP="004079AE">
      <w:pPr>
        <w:ind w:firstLine="567"/>
        <w:jc w:val="both"/>
      </w:pPr>
      <w:r>
        <w:rPr>
          <w:rFonts w:ascii="Calibri" w:hAnsi="Calibri"/>
          <w:b/>
          <w:bCs/>
          <w:sz w:val="22"/>
          <w:szCs w:val="22"/>
        </w:rPr>
        <w:t> </w:t>
      </w:r>
    </w:p>
    <w:p w:rsidR="004079AE" w:rsidRDefault="004079AE" w:rsidP="004079AE">
      <w:pPr>
        <w:ind w:firstLine="567"/>
        <w:jc w:val="both"/>
      </w:pPr>
      <w:r>
        <w:rPr>
          <w:rFonts w:ascii="Calibri" w:hAnsi="Calibri"/>
          <w:b/>
          <w:bCs/>
          <w:sz w:val="22"/>
          <w:szCs w:val="22"/>
        </w:rPr>
        <w:t>Purpose</w:t>
      </w:r>
    </w:p>
    <w:p w:rsidR="004079AE" w:rsidRDefault="004079AE" w:rsidP="004079AE">
      <w:pPr>
        <w:ind w:firstLine="567"/>
        <w:jc w:val="both"/>
      </w:pPr>
      <w:r>
        <w:rPr>
          <w:rFonts w:ascii="Calibri" w:hAnsi="Calibri"/>
          <w:b/>
          <w:sz w:val="22"/>
          <w:szCs w:val="22"/>
        </w:rPr>
        <w:t>ARTICLE 1</w:t>
      </w:r>
      <w:r>
        <w:rPr>
          <w:rFonts w:ascii="Calibri" w:hAnsi="Calibri"/>
          <w:sz w:val="22"/>
          <w:szCs w:val="22"/>
        </w:rPr>
        <w:t xml:space="preserve">- These Regulations aim to determine the principles and procedures regarding the vertical transfer and placement of successful graduates of vocational schools and open education associate degree programs to formal education and open education undergraduate degree programs. </w:t>
      </w:r>
    </w:p>
    <w:p w:rsidR="004079AE" w:rsidRDefault="004079AE" w:rsidP="004079AE">
      <w:pPr>
        <w:ind w:firstLine="567"/>
        <w:jc w:val="both"/>
      </w:pPr>
      <w:r>
        <w:rPr>
          <w:rFonts w:ascii="Calibri" w:hAnsi="Calibri"/>
          <w:b/>
          <w:bCs/>
          <w:sz w:val="22"/>
          <w:szCs w:val="22"/>
        </w:rPr>
        <w:t>Scope</w:t>
      </w:r>
    </w:p>
    <w:p w:rsidR="004079AE" w:rsidRDefault="004079AE" w:rsidP="004079AE">
      <w:pPr>
        <w:ind w:firstLine="567"/>
        <w:jc w:val="both"/>
      </w:pPr>
      <w:r>
        <w:rPr>
          <w:rFonts w:ascii="Calibri" w:hAnsi="Calibri"/>
          <w:b/>
          <w:sz w:val="22"/>
          <w:szCs w:val="22"/>
        </w:rPr>
        <w:t>ARTICLE 2</w:t>
      </w:r>
      <w:r>
        <w:rPr>
          <w:rFonts w:ascii="Calibri" w:hAnsi="Calibri"/>
          <w:sz w:val="22"/>
          <w:szCs w:val="22"/>
        </w:rPr>
        <w:t>- These Regulations cover the principles regarding the vertical transfer of students who have successfully completed vocational schools and open education associate degree programs to formal education and open education undergraduate programs.</w:t>
      </w:r>
    </w:p>
    <w:p w:rsidR="004079AE" w:rsidRDefault="004079AE" w:rsidP="004079AE">
      <w:pPr>
        <w:ind w:firstLine="567"/>
        <w:jc w:val="both"/>
      </w:pPr>
      <w:r>
        <w:rPr>
          <w:rFonts w:ascii="Calibri" w:hAnsi="Calibri"/>
          <w:b/>
          <w:bCs/>
          <w:sz w:val="22"/>
          <w:szCs w:val="22"/>
        </w:rPr>
        <w:t>Basis</w:t>
      </w:r>
    </w:p>
    <w:p w:rsidR="004079AE" w:rsidRDefault="004079AE" w:rsidP="004079AE">
      <w:pPr>
        <w:ind w:firstLine="567"/>
        <w:jc w:val="both"/>
      </w:pPr>
      <w:r>
        <w:rPr>
          <w:rFonts w:ascii="Calibri" w:hAnsi="Calibri"/>
          <w:b/>
          <w:sz w:val="22"/>
          <w:szCs w:val="22"/>
        </w:rPr>
        <w:t>ARTICLE 3</w:t>
      </w:r>
      <w:r>
        <w:rPr>
          <w:rFonts w:ascii="Calibri" w:hAnsi="Calibri"/>
          <w:sz w:val="22"/>
          <w:szCs w:val="22"/>
        </w:rPr>
        <w:t xml:space="preserve">- These Regulations have been prepared in accordance with Paragraph (e) of Article 7 of Higher Education Law No. 2547, and Paragraph (e) added to Article 45 of Law No. 4702. </w:t>
      </w:r>
    </w:p>
    <w:p w:rsidR="004079AE" w:rsidRDefault="004079AE" w:rsidP="004079AE">
      <w:pPr>
        <w:ind w:firstLine="567"/>
        <w:jc w:val="both"/>
      </w:pPr>
      <w:r>
        <w:rPr>
          <w:rFonts w:ascii="Calibri" w:hAnsi="Calibri"/>
          <w:b/>
          <w:bCs/>
          <w:sz w:val="22"/>
          <w:szCs w:val="22"/>
        </w:rPr>
        <w:t>Application Conditions for Student Transfer</w:t>
      </w:r>
    </w:p>
    <w:p w:rsidR="004079AE" w:rsidRDefault="004079AE" w:rsidP="004079AE">
      <w:pPr>
        <w:ind w:firstLine="567"/>
        <w:jc w:val="both"/>
      </w:pPr>
      <w:r>
        <w:rPr>
          <w:rFonts w:ascii="Calibri" w:hAnsi="Calibri"/>
          <w:b/>
          <w:bCs/>
          <w:sz w:val="22"/>
          <w:szCs w:val="22"/>
        </w:rPr>
        <w:t>ARTICLE 4– (Amended: RG-16/12/2007-26732)</w:t>
      </w:r>
    </w:p>
    <w:p w:rsidR="004079AE" w:rsidRDefault="004079AE" w:rsidP="004079AE">
      <w:pPr>
        <w:ind w:firstLine="567"/>
        <w:jc w:val="both"/>
      </w:pPr>
      <w:r>
        <w:rPr>
          <w:rFonts w:ascii="Calibri" w:hAnsi="Calibri"/>
          <w:b/>
          <w:bCs/>
          <w:sz w:val="22"/>
          <w:szCs w:val="22"/>
        </w:rPr>
        <w:t>Quotas</w:t>
      </w:r>
    </w:p>
    <w:p w:rsidR="004079AE" w:rsidRDefault="004079AE" w:rsidP="004079AE">
      <w:pPr>
        <w:ind w:firstLine="567"/>
        <w:jc w:val="both"/>
      </w:pPr>
      <w:r>
        <w:rPr>
          <w:rFonts w:ascii="Calibri" w:hAnsi="Calibri"/>
          <w:b/>
          <w:sz w:val="22"/>
          <w:szCs w:val="22"/>
        </w:rPr>
        <w:t>ARTICLE 5-</w:t>
      </w:r>
      <w:r>
        <w:rPr>
          <w:rFonts w:ascii="Calibri" w:hAnsi="Calibri"/>
          <w:sz w:val="22"/>
          <w:szCs w:val="22"/>
        </w:rPr>
        <w:t xml:space="preserve"> Quotas are allocated in undergraduate programs in order for graduates of vocational schools and open education associate degree programs to be transferred to undergraduate programs that are a continuation of their majors. These quotas may not be less than ten percent of the number of students attending vocational schools and graduating without taking an exam. </w:t>
      </w:r>
      <w:r>
        <w:rPr>
          <w:rFonts w:ascii="Calibri" w:hAnsi="Calibri"/>
          <w:b/>
          <w:sz w:val="22"/>
          <w:szCs w:val="22"/>
        </w:rPr>
        <w:t xml:space="preserve">(Amended sentence: OG-28/8/2015-29459, 3rd repetition) </w:t>
      </w:r>
      <w:r>
        <w:rPr>
          <w:rFonts w:ascii="Calibri" w:hAnsi="Calibri"/>
          <w:sz w:val="22"/>
          <w:szCs w:val="22"/>
        </w:rPr>
        <w:t>The undergraduate programs to be opened for vocational school and open education associate degree graduates meeting the conditions to apply to be transferred to formal education and open education undergraduate degree programs are determined and announced by the Council of Higher Education, taking into account the undergraduate programs to be opened, the criteria for graduates of vocational schools and open education programs to apply, the quotas of these programs and the types of scores to be used for placement in the programs, as well as the opinions and suggestions of receiving universities.</w:t>
      </w:r>
    </w:p>
    <w:p w:rsidR="004079AE" w:rsidRDefault="004079AE" w:rsidP="004079AE">
      <w:pPr>
        <w:ind w:firstLine="567"/>
        <w:jc w:val="both"/>
      </w:pPr>
      <w:r>
        <w:rPr>
          <w:rFonts w:ascii="Calibri" w:hAnsi="Calibri"/>
          <w:b/>
          <w:bCs/>
          <w:sz w:val="22"/>
          <w:szCs w:val="22"/>
        </w:rPr>
        <w:t>Examination Guide and Application Transactions</w:t>
      </w:r>
    </w:p>
    <w:p w:rsidR="004079AE" w:rsidRDefault="004079AE" w:rsidP="004079AE">
      <w:pPr>
        <w:ind w:firstLine="567"/>
        <w:jc w:val="both"/>
      </w:pPr>
      <w:r>
        <w:rPr>
          <w:rFonts w:ascii="Calibri" w:hAnsi="Calibri"/>
          <w:b/>
          <w:sz w:val="22"/>
          <w:szCs w:val="22"/>
        </w:rPr>
        <w:t>ARTICLE 6 – (Amended: RG-20/5/2006-26173)</w:t>
      </w:r>
    </w:p>
    <w:p w:rsidR="004079AE" w:rsidRDefault="004079AE" w:rsidP="004079AE">
      <w:pPr>
        <w:ind w:firstLine="567"/>
        <w:jc w:val="both"/>
      </w:pPr>
      <w:r>
        <w:rPr>
          <w:rFonts w:ascii="Calibri" w:hAnsi="Calibri"/>
          <w:sz w:val="22"/>
          <w:szCs w:val="22"/>
        </w:rPr>
        <w:t>The Student Selection and Placement Center (</w:t>
      </w:r>
      <w:r>
        <w:rPr>
          <w:rFonts w:ascii="Calibri" w:hAnsi="Calibri"/>
          <w:i/>
          <w:sz w:val="22"/>
          <w:szCs w:val="22"/>
        </w:rPr>
        <w:t>ÖSYM</w:t>
      </w:r>
      <w:r>
        <w:rPr>
          <w:rFonts w:ascii="Calibri" w:hAnsi="Calibri"/>
          <w:sz w:val="22"/>
          <w:szCs w:val="22"/>
        </w:rPr>
        <w:t>) prepares a guide showing the undergraduate programs are suitable for graduates of vocational schools and open education associate degree programs, as well as for those who are in their final year and meet the graduation requirements other than internship every year. The guide also features the application conditions of these programs and the number of students to be admitted. The guide presents the principles and procedures regarding the application process, the selection process for undergraduate programs; examination, evaluation and placement procedures, and the procedures to be carried out by the vocational school directorates and the units relevant to open education associate degree programs. The guide takes effect upon the confirmation by the Council of Higher Education. Vocational school directorates and units relevant to open education associate degree programs are responsible for the approval of the application documents through compliance checks against the conditions set out in these Regulations, the delivery of application documentation to ÖSYM at the end of the application period, to finalize the graduation transactions of final-year students by the last week of July regardless of their graduation status and logging the academic grade point averages of the candidates to the electronic lists by ÖSYM, and to submit these lists to ÖSYM until August 1.</w:t>
      </w:r>
    </w:p>
    <w:p w:rsidR="004079AE" w:rsidRDefault="004079AE" w:rsidP="004079AE">
      <w:pPr>
        <w:ind w:firstLine="567"/>
        <w:jc w:val="both"/>
      </w:pPr>
      <w:r>
        <w:rPr>
          <w:rFonts w:ascii="Calibri" w:hAnsi="Calibri"/>
          <w:b/>
          <w:bCs/>
          <w:sz w:val="22"/>
          <w:szCs w:val="22"/>
        </w:rPr>
        <w:t>Examination and Evaluation</w:t>
      </w:r>
    </w:p>
    <w:p w:rsidR="004079AE" w:rsidRDefault="004079AE" w:rsidP="004079AE">
      <w:pPr>
        <w:ind w:firstLine="567"/>
        <w:jc w:val="both"/>
      </w:pPr>
      <w:r>
        <w:rPr>
          <w:rFonts w:ascii="Calibri" w:hAnsi="Calibri"/>
          <w:b/>
          <w:sz w:val="22"/>
          <w:szCs w:val="22"/>
        </w:rPr>
        <w:t>ARTICLE 7</w:t>
      </w:r>
      <w:r>
        <w:rPr>
          <w:rFonts w:ascii="Calibri" w:hAnsi="Calibri"/>
          <w:sz w:val="22"/>
          <w:szCs w:val="22"/>
        </w:rPr>
        <w:t xml:space="preserve">- Candidates who meet the conditions specified in these Regulations and whose applications are accepted are required to take an aptitude test consisting of verbal and numerical sections. </w:t>
      </w:r>
      <w:r>
        <w:rPr>
          <w:rFonts w:ascii="Calibri" w:hAnsi="Calibri"/>
          <w:b/>
          <w:sz w:val="22"/>
          <w:szCs w:val="22"/>
        </w:rPr>
        <w:lastRenderedPageBreak/>
        <w:t>(Amended second sentence: RG-19/7/2012-28358)</w:t>
      </w:r>
      <w:r>
        <w:rPr>
          <w:rFonts w:ascii="Calibri" w:hAnsi="Calibri"/>
          <w:sz w:val="22"/>
          <w:szCs w:val="22"/>
        </w:rPr>
        <w:t xml:space="preserve"> Placement takes into account the scores obtained by the candidates in the aptitude test and the Associate Degree Achievement Scores determined based on the academic grade point averages of the candidates. </w:t>
      </w:r>
      <w:r>
        <w:rPr>
          <w:rFonts w:ascii="Calibri" w:hAnsi="Calibri"/>
          <w:b/>
          <w:sz w:val="22"/>
          <w:szCs w:val="22"/>
        </w:rPr>
        <w:t>(Amended third sentence: RG-4/8/2012-28374)</w:t>
      </w:r>
      <w:r>
        <w:rPr>
          <w:rFonts w:ascii="Calibri" w:hAnsi="Calibri"/>
          <w:sz w:val="22"/>
          <w:szCs w:val="22"/>
        </w:rPr>
        <w:t xml:space="preserve"> The Student Transfer Exam Scores are calculated by adding the Associate Degree Achievement scores obtained from the academic grade averages to the exam scores; this calculation is determined by ÖSYM and is included in the Student Transfer Examination Guide. </w:t>
      </w:r>
    </w:p>
    <w:p w:rsidR="004079AE" w:rsidRDefault="004079AE" w:rsidP="004079AE">
      <w:pPr>
        <w:ind w:firstLine="567"/>
        <w:jc w:val="both"/>
      </w:pPr>
      <w:r>
        <w:rPr>
          <w:rFonts w:ascii="Calibri" w:hAnsi="Calibri"/>
          <w:b/>
          <w:bCs/>
          <w:sz w:val="22"/>
          <w:szCs w:val="22"/>
        </w:rPr>
        <w:t>Placement</w:t>
      </w:r>
    </w:p>
    <w:p w:rsidR="004079AE" w:rsidRDefault="004079AE" w:rsidP="004079AE">
      <w:pPr>
        <w:ind w:firstLine="567"/>
        <w:jc w:val="both"/>
      </w:pPr>
      <w:r>
        <w:rPr>
          <w:rFonts w:ascii="Calibri" w:hAnsi="Calibri"/>
          <w:b/>
          <w:sz w:val="22"/>
          <w:szCs w:val="22"/>
        </w:rPr>
        <w:t>ARTICLE 8 – (Amended: RG-19/9/2009-27354)</w:t>
      </w:r>
    </w:p>
    <w:p w:rsidR="004079AE" w:rsidRDefault="004079AE" w:rsidP="004079AE">
      <w:pPr>
        <w:ind w:firstLine="567"/>
        <w:jc w:val="both"/>
      </w:pPr>
      <w:r>
        <w:rPr>
          <w:rFonts w:ascii="Calibri" w:hAnsi="Calibri"/>
          <w:sz w:val="22"/>
          <w:szCs w:val="22"/>
        </w:rPr>
        <w:t xml:space="preserve">ÖSYM places the candidates who meet the application conditions into undergraduate programs, taking into account their placement scores and the quotas and admission conditions of the undergraduate programs, and the selections made by the candidates after the University Selection Examination results are announced. </w:t>
      </w:r>
      <w:r>
        <w:rPr>
          <w:rFonts w:ascii="Calibri" w:hAnsi="Calibri"/>
          <w:b/>
          <w:sz w:val="22"/>
          <w:szCs w:val="22"/>
        </w:rPr>
        <w:t xml:space="preserve">(Additional </w:t>
      </w:r>
      <w:r w:rsidR="00C3577F">
        <w:rPr>
          <w:rFonts w:ascii="Calibri" w:hAnsi="Calibri"/>
          <w:b/>
          <w:sz w:val="22"/>
          <w:szCs w:val="22"/>
        </w:rPr>
        <w:t>sentence: RG</w:t>
      </w:r>
      <w:r>
        <w:rPr>
          <w:rFonts w:ascii="Calibri" w:hAnsi="Calibri"/>
          <w:b/>
          <w:sz w:val="22"/>
          <w:szCs w:val="22"/>
        </w:rPr>
        <w:t xml:space="preserve">-29/7/2011-28009) </w:t>
      </w:r>
      <w:r>
        <w:rPr>
          <w:rFonts w:ascii="Calibri" w:hAnsi="Calibri"/>
          <w:sz w:val="22"/>
          <w:szCs w:val="22"/>
        </w:rPr>
        <w:t>For candidates who are placed in a higher education program through central placement as a result of the previous Student Transfer Exam, the coefficient applied to the relevant weighted associate degree achievement score is reduced at the rate determined by the Council of Higher Education. If necessary, additional placements may be the case for vacant quotas as per a relevant decision by the Council of Higher Education.</w:t>
      </w:r>
    </w:p>
    <w:p w:rsidR="004079AE" w:rsidRDefault="004079AE" w:rsidP="004079AE">
      <w:pPr>
        <w:ind w:firstLine="567"/>
        <w:jc w:val="both"/>
      </w:pPr>
      <w:r>
        <w:rPr>
          <w:rFonts w:ascii="Calibri" w:hAnsi="Calibri"/>
          <w:b/>
          <w:bCs/>
          <w:sz w:val="22"/>
          <w:szCs w:val="22"/>
        </w:rPr>
        <w:t>Undergraduate degree programs</w:t>
      </w:r>
    </w:p>
    <w:p w:rsidR="004079AE" w:rsidRDefault="004079AE" w:rsidP="004079AE">
      <w:pPr>
        <w:ind w:firstLine="567"/>
        <w:jc w:val="both"/>
      </w:pPr>
      <w:r>
        <w:rPr>
          <w:rFonts w:ascii="Calibri" w:hAnsi="Calibri"/>
          <w:b/>
          <w:sz w:val="22"/>
          <w:szCs w:val="22"/>
        </w:rPr>
        <w:t>ARTICLE 9 – (Amended with title: RG-29/7/2011-28009)</w:t>
      </w:r>
      <w:r>
        <w:rPr>
          <w:rFonts w:ascii="Calibri" w:hAnsi="Calibri"/>
          <w:b/>
          <w:bCs/>
          <w:sz w:val="22"/>
          <w:szCs w:val="22"/>
        </w:rPr>
        <w:t xml:space="preserve">  </w:t>
      </w:r>
    </w:p>
    <w:p w:rsidR="004079AE" w:rsidRDefault="004079AE" w:rsidP="004079AE">
      <w:pPr>
        <w:ind w:firstLine="567"/>
        <w:jc w:val="both"/>
      </w:pPr>
      <w:r>
        <w:rPr>
          <w:rFonts w:ascii="Calibri" w:hAnsi="Calibri"/>
          <w:sz w:val="22"/>
          <w:szCs w:val="22"/>
        </w:rPr>
        <w:t xml:space="preserve">Students who are eligible to start their undergraduate education are given an exemption from the courses they have taken in their associate degree studies by their universities, and the program courses they are required to take are determined by taking their credits into consideration. Students are granted the right to continue pursuing their education after they are enrolled in their program with respect to the courses they are required to take. In foreign language medium programs and programs that come with a compulsory foreign language preparatory course, students are required to pass the foreign language exemption exam held by the university or pass the foreign language preparatory course in order to start their actual undergraduate program. During the foreign language preparatory class and undergraduate degree education, students are subject to the regulations on education of their university. Students who fail the foreign language preparatory course of programs where the language of instruction is at least 30% in the foreign language or fully in the foreign language may be placed by ÖSYM into higher education programs providing education in Turkish within the framework of the provisions of the Regulations on the Principles to be Followed in Foreign Language Teaching and Foreign Language Education in Higher Education Institutions published in the Official Gazette dated 4/12/2008, no. 27074. Transferred students continue their education in accordance with the provisions of Article 44 of Law No. 2547. </w:t>
      </w:r>
    </w:p>
    <w:p w:rsidR="004079AE" w:rsidRDefault="004079AE" w:rsidP="004079AE">
      <w:pPr>
        <w:ind w:firstLine="567"/>
        <w:jc w:val="both"/>
      </w:pPr>
      <w:r>
        <w:rPr>
          <w:rFonts w:ascii="Calibri" w:hAnsi="Calibri"/>
          <w:b/>
          <w:sz w:val="22"/>
          <w:szCs w:val="22"/>
        </w:rPr>
        <w:t xml:space="preserve">(Additional paragraph: RG-1/4/2016-29671) </w:t>
      </w:r>
      <w:r>
        <w:rPr>
          <w:rFonts w:ascii="Calibri" w:hAnsi="Calibri"/>
          <w:sz w:val="22"/>
          <w:szCs w:val="22"/>
        </w:rPr>
        <w:t>Undergraduate degree grade point averages of students who have been placed into undergraduate programs through student transfer and are currently registered are calculated based on the courses assigned to them in their undergraduate degree program; and the courses that they take in their undergraduate degree program.</w:t>
      </w:r>
    </w:p>
    <w:p w:rsidR="004079AE" w:rsidRDefault="004079AE" w:rsidP="004079AE">
      <w:pPr>
        <w:ind w:firstLine="567"/>
        <w:jc w:val="both"/>
      </w:pPr>
      <w:r>
        <w:rPr>
          <w:rFonts w:ascii="Calibri" w:hAnsi="Calibri"/>
          <w:b/>
          <w:bCs/>
          <w:sz w:val="22"/>
          <w:szCs w:val="22"/>
        </w:rPr>
        <w:t>Admission to Open Education</w:t>
      </w:r>
    </w:p>
    <w:p w:rsidR="004079AE" w:rsidRDefault="004079AE" w:rsidP="004079AE">
      <w:pPr>
        <w:ind w:firstLine="567"/>
        <w:jc w:val="both"/>
      </w:pPr>
      <w:r>
        <w:rPr>
          <w:rFonts w:ascii="Calibri" w:hAnsi="Calibri"/>
          <w:b/>
          <w:bCs/>
          <w:sz w:val="22"/>
          <w:szCs w:val="22"/>
        </w:rPr>
        <w:t xml:space="preserve">ARTICLE 10– (Amended: RG-28/8/2015-29459, 3rd repetition) </w:t>
      </w:r>
    </w:p>
    <w:p w:rsidR="004079AE" w:rsidRDefault="004079AE" w:rsidP="004079AE">
      <w:pPr>
        <w:ind w:firstLine="567"/>
        <w:jc w:val="both"/>
      </w:pPr>
      <w:r>
        <w:rPr>
          <w:rFonts w:ascii="Calibri" w:hAnsi="Calibri"/>
          <w:b/>
          <w:bCs/>
          <w:sz w:val="22"/>
          <w:szCs w:val="22"/>
        </w:rPr>
        <w:t>Repealed Legislation</w:t>
      </w:r>
    </w:p>
    <w:p w:rsidR="004079AE" w:rsidRDefault="004079AE" w:rsidP="004079AE">
      <w:pPr>
        <w:ind w:firstLine="567"/>
        <w:jc w:val="both"/>
      </w:pPr>
      <w:r>
        <w:rPr>
          <w:rFonts w:ascii="Calibri" w:hAnsi="Calibri"/>
          <w:b/>
          <w:sz w:val="22"/>
          <w:szCs w:val="22"/>
        </w:rPr>
        <w:t>ARTICLE 11</w:t>
      </w:r>
      <w:r>
        <w:rPr>
          <w:rFonts w:ascii="Calibri" w:hAnsi="Calibri"/>
          <w:sz w:val="22"/>
          <w:szCs w:val="22"/>
        </w:rPr>
        <w:t>- As of the date of entry into force of these Regulations, the “Regulations on Continuation of Undergraduate Education for Graduates of Vocational Schools and Open Education Associate Degree Programs” published in the Official Gazette No. 23847 dated 15/10/1999 have been repealed.</w:t>
      </w:r>
    </w:p>
    <w:p w:rsidR="004079AE" w:rsidRDefault="004079AE" w:rsidP="004079AE">
      <w:pPr>
        <w:ind w:firstLine="567"/>
        <w:jc w:val="both"/>
      </w:pPr>
      <w:r>
        <w:rPr>
          <w:rFonts w:ascii="Calibri" w:hAnsi="Calibri"/>
          <w:b/>
          <w:bCs/>
          <w:sz w:val="22"/>
          <w:szCs w:val="22"/>
        </w:rPr>
        <w:t xml:space="preserve">PROVISIONAL ARTICLE 1 - (Added: RG-8/1/2006-26047) </w:t>
      </w:r>
    </w:p>
    <w:p w:rsidR="004079AE" w:rsidRDefault="004079AE" w:rsidP="004079AE">
      <w:pPr>
        <w:ind w:firstLine="567"/>
        <w:jc w:val="both"/>
      </w:pPr>
      <w:r>
        <w:rPr>
          <w:rFonts w:ascii="Calibri" w:hAnsi="Calibri"/>
          <w:sz w:val="22"/>
          <w:szCs w:val="22"/>
        </w:rPr>
        <w:t>In accordance with Article 9 of this Regulation, students whose registration is canceled after failing the Foreign Language Preparatory Course may utilize their right to be placed in higher education institutions providing education in Turkish, as stipulated in the said article, if they apply to the Council of Higher Education within two months from the date of publication of these Regulations.</w:t>
      </w:r>
    </w:p>
    <w:p w:rsidR="004079AE" w:rsidRDefault="004079AE" w:rsidP="004079AE">
      <w:pPr>
        <w:ind w:firstLine="567"/>
        <w:jc w:val="both"/>
      </w:pPr>
      <w:r>
        <w:rPr>
          <w:rFonts w:ascii="Calibri" w:hAnsi="Calibri"/>
          <w:b/>
          <w:sz w:val="22"/>
          <w:szCs w:val="22"/>
        </w:rPr>
        <w:lastRenderedPageBreak/>
        <w:t>PROVISIONAL ARTICLE 2 - (Added: RG-28/8/2015-29459, 3rd repetition)</w:t>
      </w:r>
      <w:r>
        <w:rPr>
          <w:rFonts w:ascii="Calibri" w:hAnsi="Calibri"/>
          <w:b/>
          <w:bCs/>
          <w:sz w:val="22"/>
          <w:szCs w:val="22"/>
        </w:rPr>
        <w:t xml:space="preserve"> </w:t>
      </w:r>
    </w:p>
    <w:p w:rsidR="004079AE" w:rsidRDefault="004079AE" w:rsidP="004079AE">
      <w:pPr>
        <w:ind w:firstLine="567"/>
        <w:jc w:val="both"/>
      </w:pPr>
      <w:r>
        <w:rPr>
          <w:rFonts w:ascii="Calibri" w:hAnsi="Calibri"/>
          <w:sz w:val="22"/>
          <w:szCs w:val="22"/>
        </w:rPr>
        <w:t>The provisions of the Student Transfer Examination Guide approved on 20/5/2015 apply to the placements of graduates of associate degree programs of open education and vocational schools to open education undergraduate programs in their fields in 2015, where Anadolu University did not have a quota limitation, but quota limitations were imposed later.</w:t>
      </w:r>
    </w:p>
    <w:p w:rsidR="004079AE" w:rsidRDefault="004079AE" w:rsidP="004079AE">
      <w:pPr>
        <w:ind w:firstLine="567"/>
        <w:jc w:val="both"/>
      </w:pPr>
      <w:r>
        <w:rPr>
          <w:rFonts w:ascii="Calibri" w:hAnsi="Calibri"/>
          <w:b/>
          <w:bCs/>
          <w:sz w:val="22"/>
          <w:szCs w:val="22"/>
        </w:rPr>
        <w:t>Effective Date</w:t>
      </w:r>
    </w:p>
    <w:p w:rsidR="004079AE" w:rsidRDefault="004079AE" w:rsidP="004079AE">
      <w:pPr>
        <w:ind w:firstLine="567"/>
        <w:jc w:val="both"/>
      </w:pPr>
      <w:r>
        <w:rPr>
          <w:rFonts w:ascii="Calibri" w:hAnsi="Calibri"/>
          <w:b/>
          <w:sz w:val="22"/>
          <w:szCs w:val="22"/>
        </w:rPr>
        <w:t>ARTICLE 12 -</w:t>
      </w:r>
      <w:r>
        <w:rPr>
          <w:rFonts w:ascii="Calibri" w:hAnsi="Calibri"/>
          <w:sz w:val="22"/>
          <w:szCs w:val="22"/>
        </w:rPr>
        <w:t xml:space="preserve"> These Regulations hereby come into effect on the date of publication.</w:t>
      </w:r>
    </w:p>
    <w:p w:rsidR="004079AE" w:rsidRDefault="004079AE" w:rsidP="004079AE">
      <w:pPr>
        <w:ind w:firstLine="567"/>
        <w:jc w:val="both"/>
      </w:pPr>
      <w:r>
        <w:rPr>
          <w:rFonts w:ascii="Calibri" w:hAnsi="Calibri"/>
          <w:b/>
          <w:bCs/>
          <w:sz w:val="22"/>
          <w:szCs w:val="22"/>
        </w:rPr>
        <w:t xml:space="preserve">Execution </w:t>
      </w:r>
    </w:p>
    <w:p w:rsidR="004079AE" w:rsidRDefault="004079AE" w:rsidP="004079AE">
      <w:pPr>
        <w:ind w:firstLine="567"/>
        <w:jc w:val="both"/>
      </w:pPr>
      <w:r>
        <w:rPr>
          <w:rFonts w:ascii="Calibri" w:hAnsi="Calibri"/>
          <w:b/>
          <w:sz w:val="22"/>
          <w:szCs w:val="22"/>
        </w:rPr>
        <w:t xml:space="preserve">ARTICLE 13 - </w:t>
      </w:r>
      <w:r>
        <w:rPr>
          <w:rFonts w:ascii="Calibri" w:hAnsi="Calibri"/>
          <w:sz w:val="22"/>
          <w:szCs w:val="22"/>
        </w:rPr>
        <w:t>These Regulations are executed by the Chairperson of the Council of Higher Education.</w:t>
      </w:r>
    </w:p>
    <w:p w:rsidR="004079AE" w:rsidRDefault="004079AE" w:rsidP="004079AE">
      <w:pPr>
        <w:ind w:firstLine="567"/>
        <w:jc w:val="both"/>
      </w:pPr>
      <w:r>
        <w:rPr>
          <w:rFonts w:ascii="Calibri" w:hAnsi="Calibri"/>
          <w:sz w:val="22"/>
          <w:szCs w:val="22"/>
        </w:rPr>
        <w:t> </w:t>
      </w:r>
    </w:p>
    <w:p w:rsidR="004079AE" w:rsidRDefault="004079AE" w:rsidP="004079AE">
      <w:pPr>
        <w:ind w:firstLine="567"/>
        <w:jc w:val="both"/>
      </w:pPr>
      <w:r>
        <w:rPr>
          <w:rFonts w:ascii="Calibri" w:hAnsi="Calibri"/>
          <w:sz w:val="22"/>
          <w:szCs w:val="22"/>
        </w:rPr>
        <w:t> </w:t>
      </w:r>
      <w:bookmarkStart w:id="0" w:name="_GoBack"/>
      <w:bookmarkEnd w:id="0"/>
    </w:p>
    <w:p w:rsidR="00E17690" w:rsidRDefault="00E17690"/>
    <w:sectPr w:rsidR="00E1769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65"/>
    <w:rsid w:val="004079AE"/>
    <w:rsid w:val="004D3AD3"/>
    <w:rsid w:val="00C3577F"/>
    <w:rsid w:val="00E17690"/>
    <w:rsid w:val="00F2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2368"/>
  <w15:chartTrackingRefBased/>
  <w15:docId w15:val="{41833100-C79E-4616-BC70-BBC00005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9AE"/>
    <w:pPr>
      <w:spacing w:after="0" w:line="240" w:lineRule="auto"/>
    </w:pPr>
    <w:rPr>
      <w:rFonts w:ascii="Times New Roman" w:eastAsiaTheme="minorEastAsia"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1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2023-11-01T08:47:00Z</dcterms:created>
  <dcterms:modified xsi:type="dcterms:W3CDTF">2023-11-01T10:42:00Z</dcterms:modified>
</cp:coreProperties>
</file>