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AF1558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Gökçe </w:t>
      </w:r>
      <w:r w:rsidR="00FD31E6">
        <w:rPr>
          <w:rFonts w:ascii="Arial" w:hAnsi="Arial" w:cs="Arial"/>
          <w:sz w:val="22"/>
          <w:szCs w:val="22"/>
        </w:rPr>
        <w:t xml:space="preserve">Nur </w:t>
      </w:r>
      <w:r>
        <w:rPr>
          <w:rFonts w:ascii="Arial" w:hAnsi="Arial" w:cs="Arial"/>
          <w:sz w:val="22"/>
          <w:szCs w:val="22"/>
        </w:rPr>
        <w:t>Aykaç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  <w:r w:rsidR="00C216CC">
        <w:rPr>
          <w:rFonts w:ascii="Arial" w:hAnsi="Arial" w:cs="Arial"/>
          <w:sz w:val="22"/>
        </w:rPr>
        <w:t xml:space="preserve"> candidate</w:t>
      </w:r>
    </w:p>
    <w:p w:rsidR="003E4144" w:rsidRDefault="00C216CC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Research Assistant</w:t>
      </w:r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AF1558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gokce.aykac</w:t>
      </w:r>
      <w:hyperlink r:id="rId8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>+90 312 586 89 40</w:t>
      </w:r>
    </w:p>
    <w:p w:rsidR="003E4144" w:rsidRDefault="009254D0" w:rsidP="00C27E37">
      <w:pPr>
        <w:rPr>
          <w:rFonts w:ascii="Arial" w:hAnsi="Arial" w:cs="Arial"/>
          <w:sz w:val="22"/>
        </w:rPr>
      </w:pPr>
      <w:r w:rsidRPr="009254D0"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AF1558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12.07</w:t>
            </w:r>
            <w:r w:rsidR="00C216CC">
              <w:rPr>
                <w:rFonts w:ascii="Arial" w:hAnsi="Arial" w:cs="Arial"/>
                <w:bCs/>
                <w:sz w:val="22"/>
              </w:rPr>
              <w:t>.198</w:t>
            </w:r>
            <w:r>
              <w:rPr>
                <w:rFonts w:ascii="Arial" w:hAnsi="Arial" w:cs="Arial"/>
                <w:bCs/>
                <w:sz w:val="22"/>
              </w:rPr>
              <w:t>8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16CC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9254D0" w:rsidP="00C27E37">
      <w:pPr>
        <w:rPr>
          <w:rFonts w:ascii="Arial" w:hAnsi="Arial" w:cs="Arial"/>
          <w:sz w:val="22"/>
        </w:rPr>
      </w:pPr>
      <w:r w:rsidRPr="009254D0"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216CC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2014-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16CC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Hacettepe</w:t>
            </w:r>
            <w:proofErr w:type="spellEnd"/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Interior Architecture and Environmental Design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  <w:r w:rsidR="003D0FA7">
              <w:rPr>
                <w:rFonts w:ascii="Arial" w:hAnsi="Arial" w:cs="Arial"/>
                <w:sz w:val="22"/>
              </w:rPr>
              <w:t xml:space="preserve"> candidate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16CC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2011-2014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16CC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Hacettepe</w:t>
            </w:r>
            <w:proofErr w:type="spellEnd"/>
            <w:r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Interior Architecture and Environmental Design, M.A</w:t>
            </w:r>
            <w:r w:rsidR="00C27E37" w:rsidRPr="00AD00B3">
              <w:rPr>
                <w:rFonts w:ascii="Arial" w:hAnsi="Arial" w:cs="Arial"/>
                <w:sz w:val="22"/>
              </w:rPr>
              <w:t>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AF1558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2006</w:t>
            </w:r>
            <w:r w:rsidR="00C216CC">
              <w:rPr>
                <w:rFonts w:ascii="Arial" w:hAnsi="Arial" w:cs="Arial"/>
                <w:sz w:val="22"/>
              </w:rPr>
              <w:t>-20</w:t>
            </w: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16CC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Çankaya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Interior Architecture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AF1558" w:rsidP="00C216CC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September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2013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16CC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 Assistant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, Department of</w:t>
            </w:r>
            <w:r w:rsidR="003D0FA7">
              <w:rPr>
                <w:rFonts w:ascii="Arial" w:hAnsi="Arial" w:cs="Arial"/>
                <w:sz w:val="22"/>
              </w:rPr>
              <w:t xml:space="preserve"> Interior Architecture and Environmental Design</w:t>
            </w:r>
            <w:r w:rsidR="0053084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3D0FA7">
              <w:rPr>
                <w:rFonts w:ascii="Arial" w:hAnsi="Arial" w:cs="Arial"/>
                <w:sz w:val="22"/>
                <w:szCs w:val="22"/>
                <w:lang w:val="tr-TR" w:eastAsia="tr-TR"/>
              </w:rPr>
              <w:t>Atılım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University, </w:t>
            </w:r>
            <w:r w:rsidR="003D0FA7">
              <w:rPr>
                <w:rFonts w:ascii="Arial" w:hAnsi="Arial" w:cs="Arial"/>
                <w:sz w:val="22"/>
                <w:szCs w:val="22"/>
                <w:lang w:val="tr-TR" w:eastAsia="tr-TR"/>
              </w:rPr>
              <w:t>Türkiye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AF1558" w:rsidP="00AF1558">
            <w:pPr>
              <w:rPr>
                <w:rFonts w:ascii="Arial" w:hAnsi="Arial" w:cs="Arial"/>
                <w:sz w:val="22"/>
              </w:rPr>
            </w:pPr>
            <w:r w:rsidRPr="003D0FA7">
              <w:rPr>
                <w:rFonts w:ascii="Arial" w:hAnsi="Arial" w:cs="Arial"/>
                <w:sz w:val="22"/>
              </w:rPr>
              <w:t>Design Principles and Spatial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D0FA7">
              <w:rPr>
                <w:rFonts w:ascii="Arial" w:hAnsi="Arial" w:cs="Arial"/>
                <w:sz w:val="22"/>
              </w:rPr>
              <w:t>Analysis</w:t>
            </w:r>
            <w:r>
              <w:rPr>
                <w:rFonts w:ascii="Arial" w:hAnsi="Arial" w:cs="Arial"/>
                <w:sz w:val="22"/>
              </w:rPr>
              <w:t>, Design Education, New Technologies in Design Education,  Reality Technologies, Generations Theory, Interior Design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9206DC" w:rsidP="009206DC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FD115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Aykaç, G.N., (2018). </w:t>
            </w:r>
            <w:r w:rsidRPr="00FD115F">
              <w:rPr>
                <w:rFonts w:ascii="Arial" w:hAnsi="Arial" w:cs="Arial"/>
                <w:sz w:val="22"/>
                <w:szCs w:val="22"/>
                <w:lang w:val="tr-TR"/>
              </w:rPr>
              <w:t xml:space="preserve">Kentsel Bellek ve Krakow Örneği Schindler'in Listesi. </w:t>
            </w:r>
            <w:r w:rsidRPr="00FD115F">
              <w:rPr>
                <w:rFonts w:ascii="Arial" w:hAnsi="Arial" w:cs="Arial"/>
                <w:sz w:val="22"/>
                <w:szCs w:val="22"/>
              </w:rPr>
              <w:t xml:space="preserve">III.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Ulusal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Tasarım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Günleri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Sempozyumu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, Trabzon, Turkey. 29-30th September 2018,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Tasarım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Bellek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Temalı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Ulusal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Mekan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Tasarımı</w:t>
            </w:r>
            <w:proofErr w:type="spellEnd"/>
            <w:r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15F">
              <w:rPr>
                <w:rFonts w:ascii="Arial" w:hAnsi="Arial" w:cs="Arial"/>
                <w:sz w:val="22"/>
                <w:szCs w:val="22"/>
              </w:rPr>
              <w:t>Sempo</w:t>
            </w:r>
            <w:r w:rsidR="00FD115F" w:rsidRPr="00FD115F">
              <w:rPr>
                <w:rFonts w:ascii="Arial" w:hAnsi="Arial" w:cs="Arial"/>
                <w:sz w:val="22"/>
                <w:szCs w:val="22"/>
              </w:rPr>
              <w:t>zyumu</w:t>
            </w:r>
            <w:proofErr w:type="spellEnd"/>
            <w:r w:rsidR="00FD115F" w:rsidRPr="00FD115F">
              <w:rPr>
                <w:rFonts w:ascii="Arial" w:hAnsi="Arial" w:cs="Arial"/>
                <w:sz w:val="22"/>
                <w:szCs w:val="22"/>
              </w:rPr>
              <w:t xml:space="preserve"> 2018 </w:t>
            </w:r>
            <w:proofErr w:type="spellStart"/>
            <w:r w:rsidR="00FD115F" w:rsidRPr="00FD115F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="00FD115F" w:rsidRPr="00FD11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115F" w:rsidRPr="00FD115F">
              <w:rPr>
                <w:rFonts w:ascii="Arial" w:hAnsi="Arial" w:cs="Arial"/>
                <w:sz w:val="22"/>
                <w:szCs w:val="22"/>
              </w:rPr>
              <w:t>Kitabı</w:t>
            </w:r>
            <w:proofErr w:type="spellEnd"/>
            <w:r w:rsidR="00FD115F" w:rsidRPr="00FD115F">
              <w:rPr>
                <w:rFonts w:ascii="Arial" w:hAnsi="Arial" w:cs="Arial"/>
                <w:sz w:val="22"/>
                <w:szCs w:val="22"/>
              </w:rPr>
              <w:t>. pp.79-89</w:t>
            </w:r>
            <w:r w:rsidRPr="00FD115F">
              <w:rPr>
                <w:rFonts w:ascii="Arial" w:hAnsi="Arial" w:cs="Arial"/>
                <w:sz w:val="22"/>
                <w:szCs w:val="22"/>
              </w:rPr>
              <w:t>. ISBN 978-605-66506-6-6</w:t>
            </w: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9206DC" w:rsidP="009206DC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Aykaç, G. N.,</w:t>
            </w:r>
            <w:r w:rsidRPr="009206DC">
              <w:rPr>
                <w:rFonts w:ascii="Arial" w:hAnsi="Arial" w:cs="Arial"/>
                <w:b w:val="0"/>
                <w:sz w:val="22"/>
                <w:szCs w:val="22"/>
              </w:rPr>
              <w:t xml:space="preserve"> (2017). </w:t>
            </w:r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An Examination over the Train Station Buildings of Capital City of Turkey in the Context of Preservation and </w:t>
            </w:r>
            <w:proofErr w:type="spellStart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Refunctioning</w:t>
            </w:r>
            <w:proofErr w:type="spellEnd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of the Historical Environment: </w:t>
            </w:r>
            <w:proofErr w:type="spellStart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Gazi</w:t>
            </w:r>
            <w:proofErr w:type="spellEnd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Paşa</w:t>
            </w:r>
            <w:proofErr w:type="spellEnd"/>
            <w:r w:rsidRPr="009206D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Station. </w:t>
            </w:r>
            <w:r w:rsidRPr="009206DC">
              <w:rPr>
                <w:rFonts w:ascii="Arial" w:hAnsi="Arial" w:cs="Arial"/>
                <w:b w:val="0"/>
                <w:sz w:val="22"/>
                <w:szCs w:val="22"/>
                <w:lang w:val="fr-FR"/>
              </w:rPr>
              <w:t xml:space="preserve">Journal of </w:t>
            </w:r>
            <w:proofErr w:type="spellStart"/>
            <w:r w:rsidRPr="009206DC">
              <w:rPr>
                <w:rFonts w:ascii="Arial" w:hAnsi="Arial" w:cs="Arial"/>
                <w:b w:val="0"/>
                <w:sz w:val="22"/>
                <w:szCs w:val="22"/>
                <w:lang w:val="fr-FR"/>
              </w:rPr>
              <w:t>Awareness</w:t>
            </w:r>
            <w:proofErr w:type="spellEnd"/>
            <w:r w:rsidRPr="009206DC">
              <w:rPr>
                <w:rFonts w:ascii="Arial" w:hAnsi="Arial" w:cs="Arial"/>
                <w:b w:val="0"/>
                <w:sz w:val="22"/>
                <w:szCs w:val="22"/>
              </w:rPr>
              <w:t>, [Online]. Special Issue-03, pp 35-48. E-ISSN: 2149-6544, DOI Prefix: 10.26809. Available from: http://www.ratingacademy.com.tr/ojs/index.php/joa/issue/view/28/full%2023 ISSN 2421-8030</w:t>
            </w: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9206DC" w:rsidP="009206DC">
            <w:pPr>
              <w:pStyle w:val="Heading1"/>
              <w:rPr>
                <w:b w:val="0"/>
                <w:i w:val="0"/>
                <w:szCs w:val="22"/>
              </w:rPr>
            </w:pPr>
            <w:proofErr w:type="spellStart"/>
            <w:r>
              <w:rPr>
                <w:b w:val="0"/>
                <w:i w:val="0"/>
                <w:szCs w:val="22"/>
                <w:lang w:val="en-US"/>
              </w:rPr>
              <w:t>Aykaç</w:t>
            </w:r>
            <w:proofErr w:type="spellEnd"/>
            <w:r>
              <w:rPr>
                <w:b w:val="0"/>
                <w:i w:val="0"/>
                <w:szCs w:val="22"/>
                <w:lang w:val="en-US"/>
              </w:rPr>
              <w:t xml:space="preserve">, G. </w:t>
            </w:r>
            <w:r w:rsidRPr="009206DC">
              <w:rPr>
                <w:b w:val="0"/>
                <w:i w:val="0"/>
                <w:szCs w:val="22"/>
                <w:lang w:val="en-US"/>
              </w:rPr>
              <w:t>N.</w:t>
            </w:r>
            <w:r w:rsidR="00FD115F">
              <w:rPr>
                <w:b w:val="0"/>
                <w:i w:val="0"/>
                <w:szCs w:val="22"/>
                <w:lang w:val="en-US"/>
              </w:rPr>
              <w:t>,</w:t>
            </w:r>
            <w:r w:rsidRPr="009206DC">
              <w:rPr>
                <w:b w:val="0"/>
                <w:i w:val="0"/>
                <w:szCs w:val="22"/>
                <w:lang w:val="en-US"/>
              </w:rPr>
              <w:t xml:space="preserve"> (2016). An Evaluation over Houses Formed with Spatial Openings and Space within a Space Relation: </w:t>
            </w:r>
            <w:proofErr w:type="spellStart"/>
            <w:r w:rsidRPr="009206DC">
              <w:rPr>
                <w:b w:val="0"/>
                <w:i w:val="0"/>
                <w:szCs w:val="22"/>
                <w:lang w:val="en-US"/>
              </w:rPr>
              <w:t>Loos</w:t>
            </w:r>
            <w:proofErr w:type="spellEnd"/>
            <w:r w:rsidRPr="009206DC">
              <w:rPr>
                <w:b w:val="0"/>
                <w:i w:val="0"/>
                <w:szCs w:val="22"/>
                <w:lang w:val="en-US"/>
              </w:rPr>
              <w:t xml:space="preserve"> Typology. Global Journal on Humanities &amp; Social Sciences, [Online] 03, pp 81-86. ISSN: 2421-8030. Available from: http://sproc.org/ojs/index.php/pntsbs</w:t>
            </w: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A14CB2" w:rsidP="009206DC">
            <w:pPr>
              <w:pStyle w:val="Heading1"/>
              <w:rPr>
                <w:b w:val="0"/>
                <w:i w:val="0"/>
                <w:szCs w:val="22"/>
              </w:rPr>
            </w:pPr>
            <w:r w:rsidRPr="009206DC">
              <w:rPr>
                <w:b w:val="0"/>
                <w:i w:val="0"/>
                <w:szCs w:val="22"/>
              </w:rPr>
              <w:t>Aykaç, G. N., (2014). The analysis of the openings concept on loft spaces as a criterion of interior space and case study, Master Thesis, Ankara, Hacettepe University, Department of Interior Architecture and Environmental Design, Supervisor: E. Nur Ozanözgü</w:t>
            </w: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5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A14CB2" w:rsidRPr="009206DC" w:rsidRDefault="00A14CB2" w:rsidP="009206DC">
            <w:pPr>
              <w:spacing w:after="120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9206DC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YILMAZ Meltem, AYKAÇ Gökçe Nur, ÇETİN İlayda, DEDEKARGINOĞLU Emre, KARAOĞLU Öznur,  ÖZYILDIZ KOÇKAN Pelin, (2015). </w:t>
            </w:r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The Cities, Security and Poverty – The 2013 Meeting of the World Society for Ekistics,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Bölüm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Adı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FD115F" w:rsidRPr="009206DC">
              <w:rPr>
                <w:rFonts w:ascii="Arial" w:hAnsi="Arial" w:cs="Arial"/>
                <w:bCs/>
                <w:sz w:val="22"/>
                <w:szCs w:val="22"/>
              </w:rPr>
              <w:t>Sustainability</w:t>
            </w:r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Hasanoğlan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Village Institute and the Architectural Formation of Fine Arts Building and Amphitheatre.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Hacettepe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Üniversitesi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Yayınevi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Editör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Meltem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Yılmaz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, H.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Çağatay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06DC">
              <w:rPr>
                <w:rFonts w:ascii="Arial" w:hAnsi="Arial" w:cs="Arial"/>
                <w:bCs/>
                <w:sz w:val="22"/>
                <w:szCs w:val="22"/>
              </w:rPr>
              <w:t>Keskinok</w:t>
            </w:r>
            <w:proofErr w:type="spellEnd"/>
            <w:r w:rsidRPr="009206DC">
              <w:rPr>
                <w:rFonts w:ascii="Arial" w:hAnsi="Arial" w:cs="Arial"/>
                <w:bCs/>
                <w:sz w:val="22"/>
                <w:szCs w:val="22"/>
              </w:rPr>
              <w:t>,  ISBN: 978-975-491-416-0</w:t>
            </w:r>
          </w:p>
          <w:p w:rsidR="00922796" w:rsidRPr="009206DC" w:rsidRDefault="00922796" w:rsidP="009206DC">
            <w:pPr>
              <w:pStyle w:val="Heading1"/>
              <w:rPr>
                <w:b w:val="0"/>
                <w:i w:val="0"/>
                <w:szCs w:val="22"/>
                <w:lang w:val="en-US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Heading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15347A" w:rsidP="0015347A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15347A">
              <w:rPr>
                <w:rFonts w:ascii="Arial" w:hAnsi="Arial" w:cs="Arial"/>
                <w:sz w:val="22"/>
                <w:szCs w:val="22"/>
              </w:rPr>
              <w:t>Aykaç, G.N., (2018). Kentsel Bellek ve Krakow Örneği Schindler'in Listesi. III. Ulusal Tasarım Günleri Sempozyumu, Trabzon, Turkey. 29-30 September.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A14CB2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Aykaç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G. N., </w:t>
            </w:r>
            <w:r w:rsidR="0015347A" w:rsidRPr="0015347A">
              <w:rPr>
                <w:rFonts w:ascii="Arial" w:hAnsi="Arial" w:cs="Arial"/>
                <w:sz w:val="22"/>
                <w:szCs w:val="22"/>
              </w:rPr>
              <w:t xml:space="preserve">(2017). </w:t>
            </w:r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 xml:space="preserve">An Examination over the Train Station Buildings of Capital City of Turkey in the Context of Preservation and </w:t>
            </w:r>
            <w:proofErr w:type="spellStart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>Refunctioning</w:t>
            </w:r>
            <w:proofErr w:type="spellEnd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 xml:space="preserve"> of the Historical Environment: </w:t>
            </w:r>
            <w:proofErr w:type="spellStart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>Gazi</w:t>
            </w:r>
            <w:proofErr w:type="spellEnd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>Paşa</w:t>
            </w:r>
            <w:proofErr w:type="spellEnd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 xml:space="preserve"> Station. International Conference on Awareness, </w:t>
            </w:r>
            <w:proofErr w:type="spellStart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>Jagellonian</w:t>
            </w:r>
            <w:proofErr w:type="spellEnd"/>
            <w:r w:rsidR="0015347A" w:rsidRPr="0015347A">
              <w:rPr>
                <w:rFonts w:ascii="Arial" w:hAnsi="Arial" w:cs="Arial"/>
                <w:bCs/>
                <w:sz w:val="22"/>
                <w:szCs w:val="22"/>
              </w:rPr>
              <w:t xml:space="preserve"> University, Krakow, Poland, 16-18 November</w:t>
            </w: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A14CB2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Aykaç, G. N.,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 xml:space="preserve">(2015).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An Evaluation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proofErr w:type="spellStart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ver</w:t>
            </w:r>
            <w:proofErr w:type="spellEnd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Houses Formed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proofErr w:type="spellStart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ith</w:t>
            </w:r>
            <w:proofErr w:type="spellEnd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Spatial Openings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proofErr w:type="spellStart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nd</w:t>
            </w:r>
            <w:proofErr w:type="spellEnd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Space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proofErr w:type="spellStart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ithin</w:t>
            </w:r>
            <w:proofErr w:type="spellEnd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Space Relation: </w:t>
            </w:r>
            <w:proofErr w:type="spellStart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Loos</w:t>
            </w:r>
            <w:proofErr w:type="spellEnd"/>
            <w:r w:rsidR="0015347A" w:rsidRPr="0015347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Typology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15347A" w:rsidRPr="0015347A">
              <w:rPr>
                <w:rFonts w:ascii="Arial" w:hAnsi="Arial" w:cs="Arial"/>
                <w:b w:val="0"/>
                <w:iCs/>
                <w:sz w:val="22"/>
                <w:szCs w:val="22"/>
              </w:rPr>
              <w:t>“4th World Conference On Design And Arts”</w:t>
            </w:r>
            <w:r w:rsidR="0015347A" w:rsidRPr="0015347A">
              <w:rPr>
                <w:rFonts w:ascii="Arial" w:hAnsi="Arial" w:cs="Arial"/>
                <w:b w:val="0"/>
                <w:sz w:val="22"/>
                <w:szCs w:val="22"/>
              </w:rPr>
              <w:t>, Christian University, St. Petersburg, Rusya, 26-28 June.</w:t>
            </w: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922796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15347A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15347A">
              <w:rPr>
                <w:rFonts w:ascii="Arial" w:hAnsi="Arial" w:cs="Arial"/>
                <w:b w:val="0"/>
                <w:sz w:val="22"/>
                <w:szCs w:val="22"/>
              </w:rPr>
              <w:t xml:space="preserve">YILMAZ Meltem, AYKAÇ Gökçe Nur, ÇETİN İlayda, DEDEKARGINOĞLU Emre, KARAOĞLU Öznur,  ÖZYILDIZ KOÇKAN Pelin, (2013). </w:t>
            </w:r>
            <w:proofErr w:type="spellStart"/>
            <w:proofErr w:type="gramStart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Sustainibility</w:t>
            </w:r>
            <w:proofErr w:type="spellEnd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in </w:t>
            </w:r>
            <w:proofErr w:type="spellStart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Hasanoğlan</w:t>
            </w:r>
            <w:proofErr w:type="spellEnd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Village Institute and the Architectural Formation of Fine Arts Building and Amphitheatre.</w:t>
            </w:r>
            <w:proofErr w:type="gramEnd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The Cities, Security and Poverty -The 2013 Meeting of the World Society for Ekistics, </w:t>
            </w:r>
            <w:proofErr w:type="spellStart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Hacettepe</w:t>
            </w:r>
            <w:proofErr w:type="spellEnd"/>
            <w:r w:rsidRPr="0015347A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University, 7-10 July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89" w:rsidRDefault="008C5C89" w:rsidP="006F34E2">
      <w:r>
        <w:separator/>
      </w:r>
    </w:p>
  </w:endnote>
  <w:endnote w:type="continuationSeparator" w:id="0">
    <w:p w:rsidR="008C5C89" w:rsidRDefault="008C5C89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89" w:rsidRDefault="008C5C89" w:rsidP="006F34E2">
      <w:r>
        <w:separator/>
      </w:r>
    </w:p>
  </w:footnote>
  <w:footnote w:type="continuationSeparator" w:id="0">
    <w:p w:rsidR="008C5C89" w:rsidRDefault="008C5C89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9254D0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9254D0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4D0"/>
    <w:pPr>
      <w:jc w:val="center"/>
    </w:pPr>
    <w:rPr>
      <w:b/>
      <w:bCs/>
      <w:lang w:val="tr-TR" w:eastAsia="tr-TR"/>
    </w:rPr>
  </w:style>
  <w:style w:type="character" w:styleId="Hyperlink">
    <w:name w:val="Hyperlink"/>
    <w:rsid w:val="009254D0"/>
    <w:rPr>
      <w:color w:val="0000FF"/>
      <w:u w:val="single"/>
    </w:rPr>
  </w:style>
  <w:style w:type="character" w:styleId="Strong">
    <w:name w:val="Strong"/>
    <w:uiPriority w:val="22"/>
    <w:qFormat/>
    <w:rsid w:val="009254D0"/>
    <w:rPr>
      <w:b/>
      <w:bCs/>
    </w:rPr>
  </w:style>
  <w:style w:type="paragraph" w:styleId="BodyText3">
    <w:name w:val="Body Text 3"/>
    <w:basedOn w:val="Normal"/>
    <w:link w:val="BodyText3Char"/>
    <w:rsid w:val="009254D0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TitleChar">
    <w:name w:val="Title Char"/>
    <w:basedOn w:val="DefaultParagraphFont"/>
    <w:link w:val="Title"/>
    <w:rsid w:val="0015347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952C-4695-4C1F-AD8A-DD47CDF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3609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4</cp:revision>
  <cp:lastPrinted>2015-08-27T14:22:00Z</cp:lastPrinted>
  <dcterms:created xsi:type="dcterms:W3CDTF">2019-02-05T09:54:00Z</dcterms:created>
  <dcterms:modified xsi:type="dcterms:W3CDTF">2019-02-08T14:07:00Z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