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3E0" w:rsidRPr="000D63A0" w:rsidRDefault="004533E0" w:rsidP="004533E0">
      <w:pPr>
        <w:pStyle w:val="Balk1"/>
      </w:pPr>
      <w:bookmarkStart w:id="0" w:name="_Toc534375302"/>
      <w:bookmarkStart w:id="1" w:name="_Toc5190548"/>
      <w:r>
        <w:t>A</w:t>
      </w:r>
      <w:r w:rsidRPr="000D63A0">
        <w:t xml:space="preserve">. </w:t>
      </w:r>
      <w:r w:rsidRPr="000D63A0">
        <w:rPr>
          <w:spacing w:val="-2"/>
        </w:rPr>
        <w:t>K</w:t>
      </w:r>
      <w:r w:rsidRPr="000D63A0">
        <w:t>ALİ</w:t>
      </w:r>
      <w:r w:rsidRPr="000D63A0">
        <w:rPr>
          <w:spacing w:val="1"/>
        </w:rPr>
        <w:t>T</w:t>
      </w:r>
      <w:r w:rsidRPr="000D63A0">
        <w:t>E</w:t>
      </w:r>
      <w:r w:rsidRPr="000D63A0">
        <w:rPr>
          <w:spacing w:val="-10"/>
        </w:rPr>
        <w:t xml:space="preserve"> </w:t>
      </w:r>
      <w:r w:rsidRPr="000D63A0">
        <w:rPr>
          <w:spacing w:val="-2"/>
        </w:rPr>
        <w:t>G</w:t>
      </w:r>
      <w:r>
        <w:t>ÜVENCE</w:t>
      </w:r>
      <w:r w:rsidRPr="000D63A0">
        <w:rPr>
          <w:spacing w:val="-10"/>
        </w:rPr>
        <w:t xml:space="preserve"> </w:t>
      </w:r>
      <w:r w:rsidRPr="000D63A0">
        <w:t>SİST</w:t>
      </w:r>
      <w:r w:rsidRPr="000D63A0">
        <w:rPr>
          <w:spacing w:val="1"/>
        </w:rPr>
        <w:t>E</w:t>
      </w:r>
      <w:r w:rsidRPr="000D63A0">
        <w:rPr>
          <w:spacing w:val="-2"/>
        </w:rPr>
        <w:t>M</w:t>
      </w:r>
      <w:r w:rsidRPr="000D63A0">
        <w:t>İ</w:t>
      </w:r>
      <w:bookmarkEnd w:id="0"/>
      <w:bookmarkEnd w:id="1"/>
    </w:p>
    <w:p w:rsidR="004533E0" w:rsidRPr="00E971A5" w:rsidRDefault="004533E0" w:rsidP="004533E0">
      <w:pPr>
        <w:pStyle w:val="ListeParagraf"/>
        <w:widowControl/>
        <w:numPr>
          <w:ilvl w:val="0"/>
          <w:numId w:val="1"/>
        </w:numPr>
        <w:spacing w:before="240" w:after="240"/>
        <w:jc w:val="both"/>
        <w:outlineLvl w:val="1"/>
        <w:rPr>
          <w:rFonts w:ascii="Arial" w:eastAsia="Calibri" w:hAnsi="Arial" w:cs="Arial"/>
          <w:vanish/>
          <w:sz w:val="26"/>
          <w:szCs w:val="26"/>
        </w:rPr>
      </w:pPr>
      <w:bookmarkStart w:id="2" w:name="_Toc5190549"/>
      <w:bookmarkStart w:id="3" w:name="_Toc534375303"/>
      <w:bookmarkEnd w:id="2"/>
    </w:p>
    <w:p w:rsidR="004533E0" w:rsidRPr="00E971A5" w:rsidRDefault="007712D9" w:rsidP="007712D9">
      <w:pPr>
        <w:pStyle w:val="Balk2"/>
        <w:numPr>
          <w:ilvl w:val="0"/>
          <w:numId w:val="0"/>
        </w:numPr>
        <w:ind w:left="360"/>
      </w:pPr>
      <w:bookmarkStart w:id="4" w:name="_Toc5190550"/>
      <w:r>
        <w:t>A.1. Misyon ve Stratejik Amaçlar</w:t>
      </w:r>
      <w:bookmarkEnd w:id="4"/>
    </w:p>
    <w:bookmarkEnd w:id="3"/>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Atılım Üniversitesi’nin temel amacı ve hedefi; “kaliteli öğretim verilen, bilim ve teknoloji üreten, araştırma yapan, yetiştirdiği nesillerle ülkenin geleceğine ışık tutan ve katkıda bulunan” bir üniversitenin hayata geçirilmesidir. </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Bu hedef “girişim-gelişim-değişim” temel yaklaşımı ile “dünyayı</w:t>
      </w:r>
      <w:r w:rsidR="006C63E1">
        <w:rPr>
          <w:rFonts w:eastAsia="Times New Roman"/>
          <w:lang w:val="tr-TR"/>
        </w:rPr>
        <w:t>, coğrafyayı, ülkeyi okuyabilmey</w:t>
      </w:r>
      <w:r w:rsidRPr="009F02FA">
        <w:rPr>
          <w:rFonts w:eastAsia="Times New Roman"/>
          <w:lang w:val="tr-TR"/>
        </w:rPr>
        <w:t>i</w:t>
      </w:r>
      <w:r w:rsidR="006C63E1">
        <w:rPr>
          <w:rFonts w:eastAsia="Times New Roman"/>
          <w:lang w:val="tr-TR"/>
        </w:rPr>
        <w:t xml:space="preserve"> sağlamış</w:t>
      </w:r>
      <w:r w:rsidRPr="009F02FA">
        <w:rPr>
          <w:rFonts w:eastAsia="Times New Roman"/>
          <w:lang w:val="tr-TR"/>
        </w:rPr>
        <w:t xml:space="preserve">, bu çerçevede gelişen </w:t>
      </w:r>
      <w:proofErr w:type="gramStart"/>
      <w:r w:rsidR="00E123BA">
        <w:rPr>
          <w:rFonts w:eastAsia="Times New Roman"/>
          <w:lang w:val="tr-TR"/>
        </w:rPr>
        <w:t>vizyon</w:t>
      </w:r>
      <w:proofErr w:type="gramEnd"/>
      <w:r w:rsidRPr="009F02FA">
        <w:rPr>
          <w:rFonts w:eastAsia="Times New Roman"/>
          <w:lang w:val="tr-TR"/>
        </w:rPr>
        <w:t xml:space="preserve"> ile halkı aydınlatma</w:t>
      </w:r>
      <w:r w:rsidR="00E123BA">
        <w:rPr>
          <w:rFonts w:eastAsia="Times New Roman"/>
          <w:lang w:val="tr-TR"/>
        </w:rPr>
        <w:t xml:space="preserve">” esasına dayalı bir üniversitenin, </w:t>
      </w:r>
      <w:r w:rsidRPr="009F02FA">
        <w:rPr>
          <w:rFonts w:eastAsia="Times New Roman"/>
          <w:lang w:val="tr-TR"/>
        </w:rPr>
        <w:t>aşamalı olgunlaşmasını ve sürdürülebilir yenilenmesini de beraberinde getirmiştir.</w:t>
      </w:r>
    </w:p>
    <w:p w:rsidR="004533E0" w:rsidRPr="009F02FA" w:rsidRDefault="004533E0" w:rsidP="004533E0">
      <w:pPr>
        <w:pStyle w:val="NormalWeb"/>
        <w:shd w:val="clear" w:color="auto" w:fill="FFFFFF"/>
        <w:spacing w:after="160" w:line="259" w:lineRule="auto"/>
        <w:jc w:val="both"/>
        <w:rPr>
          <w:rFonts w:eastAsia="Times New Roman"/>
          <w:lang w:val="tr-TR"/>
        </w:rPr>
      </w:pPr>
      <w:r>
        <w:rPr>
          <w:rFonts w:eastAsia="Times New Roman"/>
          <w:lang w:val="tr-TR"/>
        </w:rPr>
        <w:t xml:space="preserve">Atılım Üniversitesi’nin </w:t>
      </w:r>
      <w:proofErr w:type="gramStart"/>
      <w:r>
        <w:rPr>
          <w:rFonts w:eastAsia="Times New Roman"/>
          <w:lang w:val="tr-TR"/>
        </w:rPr>
        <w:t>misyonu</w:t>
      </w:r>
      <w:proofErr w:type="gramEnd"/>
      <w:r w:rsidRPr="009F02FA">
        <w:rPr>
          <w:rFonts w:eastAsia="Times New Roman"/>
          <w:lang w:val="tr-TR"/>
        </w:rPr>
        <w:t>; toplumsal duyarlılık ve sürdürülebilirlik anlayışı içinde bilimsel bilginin üretimi ve uygulanmasında performansı yüksek alanlar yaratarak ulusal ve evrensel düzeyde donanıma sahip nitelikli bireyler yetiştirmektir. Bu amaç bağlamında “ülkesinde lider bir dünya üniversitesi” olabilmek temel hedefinin somutlaşmış</w:t>
      </w:r>
      <w:r>
        <w:rPr>
          <w:rFonts w:eastAsia="Times New Roman"/>
          <w:lang w:val="tr-TR"/>
        </w:rPr>
        <w:t xml:space="preserve"> </w:t>
      </w:r>
      <w:proofErr w:type="gramStart"/>
      <w:r>
        <w:rPr>
          <w:rFonts w:eastAsia="Times New Roman"/>
          <w:lang w:val="tr-TR"/>
        </w:rPr>
        <w:t>vizyonu</w:t>
      </w:r>
      <w:proofErr w:type="gramEnd"/>
      <w:r w:rsidRPr="009F02FA">
        <w:rPr>
          <w:rFonts w:eastAsia="Times New Roman"/>
          <w:lang w:val="tr-TR"/>
        </w:rPr>
        <w:t xml:space="preserve"> “eğitimde ve araştırmada Türkiye'de ilk 10, dünyada ilk 500 üniversite içerisinde sürekli yer almak.” şeklindedir. </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Atılım Üniversitesi’nin </w:t>
      </w:r>
      <w:proofErr w:type="gramStart"/>
      <w:r>
        <w:rPr>
          <w:rFonts w:eastAsia="Times New Roman"/>
          <w:lang w:val="tr-TR"/>
        </w:rPr>
        <w:t>misyon</w:t>
      </w:r>
      <w:proofErr w:type="gramEnd"/>
      <w:r w:rsidRPr="009F02FA">
        <w:rPr>
          <w:rFonts w:eastAsia="Times New Roman"/>
          <w:lang w:val="tr-TR"/>
        </w:rPr>
        <w:t xml:space="preserve"> ve </w:t>
      </w:r>
      <w:r>
        <w:rPr>
          <w:rFonts w:eastAsia="Times New Roman"/>
          <w:lang w:val="tr-TR"/>
        </w:rPr>
        <w:t>vizyonunu</w:t>
      </w:r>
      <w:r w:rsidRPr="009F02FA">
        <w:rPr>
          <w:rFonts w:eastAsia="Times New Roman"/>
          <w:lang w:val="tr-TR"/>
        </w:rPr>
        <w:t xml:space="preserve"> gerçekleştirmeye yönelik olarak ve stratejik yönetim sürecinin ilk temel çıktısı niteliğindeki ilk stratejik planın 2006-2009 dönemine yönelik olarak hazırlanmasını takiben, 2010-2014 dönemi için ikinci plan ve 2015-2019 dönemi için üçüncü plan güncellemeleri yapılmıştır. </w:t>
      </w:r>
      <w:r>
        <w:rPr>
          <w:rFonts w:eastAsia="Times New Roman"/>
          <w:lang w:val="tr-TR"/>
        </w:rPr>
        <w:t>Benzer şekilde 2018 – 2023 dönemi için kurum içerisinde güncellenen performans göstergeleriyle süreç şekillendirilmiştir.</w:t>
      </w:r>
      <w:r w:rsidR="00D2684D">
        <w:rPr>
          <w:rFonts w:eastAsia="Times New Roman"/>
          <w:lang w:val="tr-TR"/>
        </w:rPr>
        <w:t xml:space="preserve"> Konuya ilişkin geçmiş dönem stratejik plan dokümanlarına </w:t>
      </w:r>
      <w:hyperlink r:id="rId7" w:history="1">
        <w:r w:rsidR="00D2684D" w:rsidRPr="005A499F">
          <w:rPr>
            <w:rStyle w:val="Kpr"/>
            <w:rFonts w:eastAsia="Times New Roman"/>
            <w:lang w:val="tr-TR"/>
          </w:rPr>
          <w:t>https://www.atilim.edu.tr/tr/home/page/4626/stratejik-planlama</w:t>
        </w:r>
      </w:hyperlink>
      <w:r w:rsidR="00D2684D">
        <w:rPr>
          <w:rFonts w:eastAsia="Times New Roman"/>
          <w:lang w:val="tr-TR"/>
        </w:rPr>
        <w:t xml:space="preserve"> adresi üzerinden erişim sağlanabilmektedir.</w:t>
      </w:r>
      <w:r>
        <w:rPr>
          <w:rFonts w:eastAsia="Times New Roman"/>
          <w:lang w:val="tr-TR"/>
        </w:rPr>
        <w:t xml:space="preserve"> Son olarak; 26 Ağustos 2019 tarihli iç yazışma ile 2020-2024 dönemi </w:t>
      </w:r>
      <w:proofErr w:type="gramStart"/>
      <w:r>
        <w:rPr>
          <w:rFonts w:eastAsia="Times New Roman"/>
          <w:lang w:val="tr-TR"/>
        </w:rPr>
        <w:t>stratejik</w:t>
      </w:r>
      <w:proofErr w:type="gramEnd"/>
      <w:r>
        <w:rPr>
          <w:rFonts w:eastAsia="Times New Roman"/>
          <w:lang w:val="tr-TR"/>
        </w:rPr>
        <w:t xml:space="preserve"> plan geliştirme faaliyetleri başlatılmıştır.</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2015 yılında Mütevelli Heyeti ve Rektörlük seviyesinde ele alınan stratejik plan, “kalite geliştirme” ve “uluslararası düzeyde kabul görme” temel amaçları ile “bir dünya üniversitesi olabilme” </w:t>
      </w:r>
      <w:proofErr w:type="gramStart"/>
      <w:r>
        <w:rPr>
          <w:rFonts w:eastAsia="Times New Roman"/>
          <w:lang w:val="tr-TR"/>
        </w:rPr>
        <w:t>vizyonu</w:t>
      </w:r>
      <w:proofErr w:type="gramEnd"/>
      <w:r>
        <w:rPr>
          <w:rFonts w:eastAsia="Times New Roman"/>
          <w:lang w:val="tr-TR"/>
        </w:rPr>
        <w:t xml:space="preserve"> </w:t>
      </w:r>
      <w:r w:rsidRPr="009F02FA">
        <w:rPr>
          <w:rFonts w:eastAsia="Times New Roman"/>
          <w:lang w:val="tr-TR"/>
        </w:rPr>
        <w:t xml:space="preserve">etrafında stratejik öncelikler belirlenmiştir. </w:t>
      </w:r>
      <w:proofErr w:type="gramStart"/>
      <w:r w:rsidRPr="009F02FA">
        <w:rPr>
          <w:rFonts w:eastAsia="Times New Roman"/>
          <w:lang w:val="tr-TR"/>
        </w:rPr>
        <w:t>Bu öncelikler; (1) Eğitimde, Araştırmada ve Sanayi İşbirliklerinde Türkiye’de ilk 10, Dünyada ilk 500 Üniversite arasında yer almak ve sürdürmek; (2) Eğitim/Öğretimi sürekli iyileştirmek; (3) Temel ve uygulamalı araştırmalarla ulusal ve uluslararası bilgi birikimine katkıda bulunmak; (4) Lisansüstü eğitimi yenilikçi bir şekilde yeniden yapılandırmak; (5) Öğrenci ilişkileri yönetimini sürekli iyileştirmek; (6) Öğrencilerin, Üniversiteye olan bağlıl</w:t>
      </w:r>
      <w:r w:rsidR="006C63E1">
        <w:rPr>
          <w:rFonts w:eastAsia="Times New Roman"/>
          <w:lang w:val="tr-TR"/>
        </w:rPr>
        <w:t xml:space="preserve">ığını, güvenini, memnuniyetini </w:t>
      </w:r>
      <w:r w:rsidRPr="009F02FA">
        <w:rPr>
          <w:rFonts w:eastAsia="Times New Roman"/>
          <w:lang w:val="tr-TR"/>
        </w:rPr>
        <w:t>ve akademik başarısını sürekli yükseltmek; (7) Atılım Üniversitesini Dünya ölçeğinde etkili bir şekilde tanıtmak; (8) Kurumun var oluş, ileri görüş ve temel değerlerine uygun şekilde İnsan Kaynakları yönetimini sürekli iyileştirmek; (9) Sürdürülebilir bütünsel Bilgi Yönetim Sistem yapısı geliştirmek; (10) Etkili ve verimli kaynak yönetim yapısını sürekli geliştirmek şeklindedir.</w:t>
      </w:r>
      <w:proofErr w:type="gramEnd"/>
    </w:p>
    <w:p w:rsidR="004533E0"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Stratejik önceliklerle uyumlu olarak, stratejik amaçlar oluşturulmuştur. </w:t>
      </w:r>
    </w:p>
    <w:p w:rsidR="004533E0" w:rsidRDefault="004533E0" w:rsidP="004533E0">
      <w:pPr>
        <w:pStyle w:val="NormalWeb"/>
        <w:shd w:val="clear" w:color="auto" w:fill="FFFFFF"/>
        <w:spacing w:after="60" w:line="259" w:lineRule="auto"/>
        <w:jc w:val="both"/>
        <w:rPr>
          <w:rFonts w:eastAsia="Times New Roman"/>
          <w:lang w:val="tr-TR"/>
        </w:rPr>
      </w:pPr>
      <w:r>
        <w:rPr>
          <w:rFonts w:eastAsia="Times New Roman"/>
          <w:lang w:val="tr-TR"/>
        </w:rPr>
        <w:t xml:space="preserve">Bu </w:t>
      </w:r>
      <w:r w:rsidRPr="009F02FA">
        <w:rPr>
          <w:rFonts w:eastAsia="Times New Roman"/>
          <w:lang w:val="tr-TR"/>
        </w:rPr>
        <w:t xml:space="preserve">amaçlar;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Atılım Üniversitesi'ni ileri görüş hedeflerine ulaştıracak sürdü</w:t>
      </w:r>
      <w:r w:rsidR="00345FEF">
        <w:rPr>
          <w:rFonts w:eastAsia="Times New Roman"/>
          <w:lang w:val="tr-TR"/>
        </w:rPr>
        <w:t>rülebilir bir yapı geliştirmek,</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lastRenderedPageBreak/>
        <w:t xml:space="preserve">Atılım Üniversitesi kurumsal </w:t>
      </w:r>
      <w:r w:rsidR="00345FEF">
        <w:rPr>
          <w:rFonts w:eastAsia="Times New Roman"/>
          <w:lang w:val="tr-TR"/>
        </w:rPr>
        <w:t>itibarını sürekli iyileştirmek,</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Üniversiteyi dünya ölçeği</w:t>
      </w:r>
      <w:r w:rsidR="00345FEF">
        <w:rPr>
          <w:rFonts w:eastAsia="Times New Roman"/>
          <w:lang w:val="tr-TR"/>
        </w:rPr>
        <w:t>nde etkili bir şekilde tanıtmak,</w:t>
      </w:r>
      <w:r w:rsidRPr="009F02FA">
        <w:rPr>
          <w:rFonts w:eastAsia="Times New Roman"/>
          <w:lang w:val="tr-TR"/>
        </w:rPr>
        <w:t xml:space="preserve">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 xml:space="preserve">Akademik ve İdari Bütünsel İK Yönetim </w:t>
      </w:r>
      <w:r w:rsidR="00345FEF">
        <w:rPr>
          <w:rFonts w:eastAsia="Times New Roman"/>
          <w:lang w:val="tr-TR"/>
        </w:rPr>
        <w:t>Sürecini oluşturmak,</w:t>
      </w:r>
      <w:r w:rsidRPr="009F02FA">
        <w:rPr>
          <w:rFonts w:eastAsia="Times New Roman"/>
          <w:lang w:val="tr-TR"/>
        </w:rPr>
        <w:t xml:space="preserve">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Topluma Hizmeti ve Dış Paydaş</w:t>
      </w:r>
      <w:r w:rsidR="00345FEF">
        <w:rPr>
          <w:rFonts w:eastAsia="Times New Roman"/>
          <w:lang w:val="tr-TR"/>
        </w:rPr>
        <w:t>larla İlişkilerini güçlendirmek,</w:t>
      </w:r>
      <w:r w:rsidRPr="009F02FA">
        <w:rPr>
          <w:rFonts w:eastAsia="Times New Roman"/>
          <w:lang w:val="tr-TR"/>
        </w:rPr>
        <w:t xml:space="preserve">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Sürdürülebilir ve Bütünsel Bir Bilgi Yön</w:t>
      </w:r>
      <w:r w:rsidR="00345FEF">
        <w:rPr>
          <w:rFonts w:eastAsia="Times New Roman"/>
          <w:lang w:val="tr-TR"/>
        </w:rPr>
        <w:t>etim Sistemi yapısı geliştirmek,</w:t>
      </w:r>
      <w:r w:rsidRPr="009F02FA">
        <w:rPr>
          <w:rFonts w:eastAsia="Times New Roman"/>
          <w:lang w:val="tr-TR"/>
        </w:rPr>
        <w:t xml:space="preserve"> </w:t>
      </w:r>
    </w:p>
    <w:p w:rsidR="004533E0" w:rsidRDefault="009953ED" w:rsidP="004533E0">
      <w:pPr>
        <w:pStyle w:val="NormalWeb"/>
        <w:numPr>
          <w:ilvl w:val="0"/>
          <w:numId w:val="3"/>
        </w:numPr>
        <w:shd w:val="clear" w:color="auto" w:fill="FFFFFF"/>
        <w:spacing w:after="60" w:line="259" w:lineRule="auto"/>
        <w:ind w:left="567" w:hanging="567"/>
        <w:jc w:val="both"/>
        <w:rPr>
          <w:rFonts w:eastAsia="Times New Roman"/>
          <w:lang w:val="tr-TR"/>
        </w:rPr>
      </w:pPr>
      <w:r>
        <w:rPr>
          <w:rFonts w:eastAsia="Times New Roman"/>
          <w:lang w:val="tr-TR"/>
        </w:rPr>
        <w:t>Kurumsal Yapı ve</w:t>
      </w:r>
      <w:r w:rsidR="004533E0" w:rsidRPr="009F02FA">
        <w:rPr>
          <w:rFonts w:eastAsia="Times New Roman"/>
          <w:lang w:val="tr-TR"/>
        </w:rPr>
        <w:t xml:space="preserve"> Kapasiteyi, Planlama, Kaynak Yönetimi ve Karar Destek Sistemlerini sürekli iyileşt</w:t>
      </w:r>
      <w:r w:rsidR="00345FEF">
        <w:rPr>
          <w:rFonts w:eastAsia="Times New Roman"/>
          <w:lang w:val="tr-TR"/>
        </w:rPr>
        <w:t>irmek</w:t>
      </w:r>
      <w:proofErr w:type="gramStart"/>
      <w:r w:rsidR="00345FEF">
        <w:rPr>
          <w:rFonts w:eastAsia="Times New Roman"/>
          <w:lang w:val="tr-TR"/>
        </w:rPr>
        <w:t>;,</w:t>
      </w:r>
      <w:proofErr w:type="gramEnd"/>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Lisansüstü P</w:t>
      </w:r>
      <w:r w:rsidR="00345FEF">
        <w:rPr>
          <w:rFonts w:eastAsia="Times New Roman"/>
          <w:lang w:val="tr-TR"/>
        </w:rPr>
        <w:t>rogramları sürekli iyileştirmek,</w:t>
      </w:r>
      <w:r w:rsidRPr="009F02FA">
        <w:rPr>
          <w:rFonts w:eastAsia="Times New Roman"/>
          <w:lang w:val="tr-TR"/>
        </w:rPr>
        <w:t xml:space="preserve">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Temel ve uygulamalı araştırmalarla ulusal ve uluslararası bil</w:t>
      </w:r>
      <w:r w:rsidR="00345FEF">
        <w:rPr>
          <w:rFonts w:eastAsia="Times New Roman"/>
          <w:lang w:val="tr-TR"/>
        </w:rPr>
        <w:t>gi birikimine katkıda bulunmak,</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 xml:space="preserve">Üniversite yerleşkesini eğitim, bilimsel araştırma ve topluma hizmet konularında eşgüdüm, </w:t>
      </w:r>
      <w:proofErr w:type="spellStart"/>
      <w:r w:rsidRPr="009F02FA">
        <w:rPr>
          <w:rFonts w:eastAsia="Times New Roman"/>
          <w:lang w:val="tr-TR"/>
        </w:rPr>
        <w:t>ilişkisellik</w:t>
      </w:r>
      <w:proofErr w:type="spellEnd"/>
      <w:r w:rsidRPr="009F02FA">
        <w:rPr>
          <w:rFonts w:eastAsia="Times New Roman"/>
          <w:lang w:val="tr-TR"/>
        </w:rPr>
        <w:t xml:space="preserve"> ve işbirliğine dayalı bir fiziksel mekâ</w:t>
      </w:r>
      <w:r w:rsidR="00345FEF">
        <w:rPr>
          <w:rFonts w:eastAsia="Times New Roman"/>
          <w:lang w:val="tr-TR"/>
        </w:rPr>
        <w:t>n haline getirmek ve sürdürmek,</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 xml:space="preserve">Eğitim </w:t>
      </w:r>
      <w:r w:rsidR="00345FEF">
        <w:rPr>
          <w:rFonts w:eastAsia="Times New Roman"/>
          <w:lang w:val="tr-TR"/>
        </w:rPr>
        <w:t>ve öğretimi sürekli geliştirmek,</w:t>
      </w:r>
      <w:r w:rsidRPr="009F02FA">
        <w:rPr>
          <w:rFonts w:eastAsia="Times New Roman"/>
          <w:lang w:val="tr-TR"/>
        </w:rPr>
        <w:t xml:space="preserve"> </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Öğrenci İlişkileri Y</w:t>
      </w:r>
      <w:r w:rsidR="00345FEF">
        <w:rPr>
          <w:rFonts w:eastAsia="Times New Roman"/>
          <w:lang w:val="tr-TR"/>
        </w:rPr>
        <w:t>önetimini sürekli iyileştirmek,</w:t>
      </w:r>
    </w:p>
    <w:p w:rsidR="004533E0" w:rsidRDefault="004533E0" w:rsidP="004533E0">
      <w:pPr>
        <w:pStyle w:val="NormalWeb"/>
        <w:numPr>
          <w:ilvl w:val="0"/>
          <w:numId w:val="3"/>
        </w:numPr>
        <w:shd w:val="clear" w:color="auto" w:fill="FFFFFF"/>
        <w:spacing w:after="60" w:line="259" w:lineRule="auto"/>
        <w:ind w:left="567" w:hanging="567"/>
        <w:jc w:val="both"/>
        <w:rPr>
          <w:rFonts w:eastAsia="Times New Roman"/>
          <w:lang w:val="tr-TR"/>
        </w:rPr>
      </w:pPr>
      <w:r w:rsidRPr="009F02FA">
        <w:rPr>
          <w:rFonts w:eastAsia="Times New Roman"/>
          <w:lang w:val="tr-TR"/>
        </w:rPr>
        <w:t>Öğrenci memnu</w:t>
      </w:r>
      <w:r w:rsidR="00345FEF">
        <w:rPr>
          <w:rFonts w:eastAsia="Times New Roman"/>
          <w:lang w:val="tr-TR"/>
        </w:rPr>
        <w:t>niyet düzeyini sürekli artırmak,</w:t>
      </w:r>
    </w:p>
    <w:p w:rsidR="004533E0" w:rsidRPr="009F02FA" w:rsidRDefault="004533E0" w:rsidP="004533E0">
      <w:pPr>
        <w:pStyle w:val="NormalWeb"/>
        <w:numPr>
          <w:ilvl w:val="0"/>
          <w:numId w:val="3"/>
        </w:numPr>
        <w:shd w:val="clear" w:color="auto" w:fill="FFFFFF"/>
        <w:spacing w:after="160" w:line="259" w:lineRule="auto"/>
        <w:ind w:left="567" w:hanging="567"/>
        <w:jc w:val="both"/>
        <w:rPr>
          <w:rFonts w:eastAsia="Times New Roman"/>
          <w:lang w:val="tr-TR"/>
        </w:rPr>
      </w:pPr>
      <w:r w:rsidRPr="009F02FA">
        <w:rPr>
          <w:rFonts w:eastAsia="Times New Roman"/>
          <w:lang w:val="tr-TR"/>
        </w:rPr>
        <w:t>Öğrencilerin, Üniversiteye aidiyet düzeylerini sürekli iyileştirmek şeklindedir.</w:t>
      </w:r>
    </w:p>
    <w:p w:rsidR="004533E0" w:rsidRPr="00720BA5" w:rsidRDefault="004533E0" w:rsidP="004533E0">
      <w:p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 xml:space="preserve">Ancak 26 Ağustos 2019 tarih ve 59394181-050.06.02-E.5603 sayılı </w:t>
      </w:r>
      <w:r w:rsidR="00592FBF">
        <w:rPr>
          <w:rFonts w:ascii="Times New Roman" w:hAnsi="Times New Roman" w:cs="Times New Roman"/>
          <w:sz w:val="24"/>
          <w:szCs w:val="24"/>
        </w:rPr>
        <w:t xml:space="preserve">iç </w:t>
      </w:r>
      <w:r w:rsidRPr="00720BA5">
        <w:rPr>
          <w:rFonts w:ascii="Times New Roman" w:hAnsi="Times New Roman" w:cs="Times New Roman"/>
          <w:sz w:val="24"/>
          <w:szCs w:val="24"/>
        </w:rPr>
        <w:t>yazı ile</w:t>
      </w:r>
      <w:r>
        <w:rPr>
          <w:rFonts w:ascii="Times New Roman" w:hAnsi="Times New Roman" w:cs="Times New Roman"/>
          <w:sz w:val="24"/>
          <w:szCs w:val="24"/>
        </w:rPr>
        <w:t xml:space="preserve"> Atılım Üniversitesi 2020</w:t>
      </w:r>
      <w:r w:rsidRPr="00720BA5">
        <w:rPr>
          <w:rFonts w:ascii="Times New Roman" w:hAnsi="Times New Roman" w:cs="Times New Roman"/>
          <w:sz w:val="24"/>
          <w:szCs w:val="24"/>
        </w:rPr>
        <w:t xml:space="preserve">–2024 dönemi Stratejik Planı ile ilgili “Stratejik Plan Geliştirme Komisyonu” </w:t>
      </w:r>
      <w:r w:rsidR="00582B91">
        <w:rPr>
          <w:rFonts w:ascii="Times New Roman" w:hAnsi="Times New Roman" w:cs="Times New Roman"/>
          <w:sz w:val="24"/>
          <w:szCs w:val="24"/>
        </w:rPr>
        <w:t xml:space="preserve">kurulmuş ve ilk </w:t>
      </w:r>
      <w:r w:rsidRPr="00720BA5">
        <w:rPr>
          <w:rFonts w:ascii="Times New Roman" w:hAnsi="Times New Roman" w:cs="Times New Roman"/>
          <w:sz w:val="24"/>
          <w:szCs w:val="24"/>
        </w:rPr>
        <w:t xml:space="preserve">toplantı daveti ile yeni dönem çalışmaları </w:t>
      </w:r>
      <w:r w:rsidR="002433DB">
        <w:rPr>
          <w:rFonts w:ascii="Times New Roman" w:hAnsi="Times New Roman" w:cs="Times New Roman"/>
          <w:sz w:val="24"/>
          <w:szCs w:val="24"/>
        </w:rPr>
        <w:t>başlatılmıştır</w:t>
      </w:r>
      <w:r w:rsidRPr="00720BA5">
        <w:rPr>
          <w:rFonts w:ascii="Times New Roman" w:hAnsi="Times New Roman" w:cs="Times New Roman"/>
          <w:sz w:val="24"/>
          <w:szCs w:val="24"/>
        </w:rPr>
        <w:t xml:space="preserve">. </w:t>
      </w:r>
      <w:proofErr w:type="gramStart"/>
      <w:r>
        <w:rPr>
          <w:rFonts w:ascii="Times New Roman" w:hAnsi="Times New Roman" w:cs="Times New Roman"/>
          <w:sz w:val="24"/>
          <w:szCs w:val="24"/>
        </w:rPr>
        <w:t>Çünkü</w:t>
      </w:r>
      <w:r w:rsidR="008C0CB2">
        <w:rPr>
          <w:rFonts w:ascii="Times New Roman" w:hAnsi="Times New Roman" w:cs="Times New Roman"/>
          <w:sz w:val="24"/>
          <w:szCs w:val="24"/>
        </w:rPr>
        <w:t>;</w:t>
      </w:r>
      <w:proofErr w:type="gramEnd"/>
      <w:r>
        <w:rPr>
          <w:rFonts w:ascii="Times New Roman" w:hAnsi="Times New Roman" w:cs="Times New Roman"/>
          <w:sz w:val="24"/>
          <w:szCs w:val="24"/>
        </w:rPr>
        <w:t xml:space="preserve"> cari olan stratejik plan amaç, hedef ve performans göstergelerinin gerçekleşmelerine dair izleme &amp; değerlendirme yapıldığında; ilgili hedeflerin yaklaşık %75’ine ulaşılabildiği, %22,7’sinin yapılmadığı ve %2’sinden vazgeçildiği tespit edilmiştir. O açıdan yeni dönem (2020-2024) stratejik plan çalışmalarının başlatılması gerekliliği ortaya çıkmıştır. </w:t>
      </w:r>
      <w:r w:rsidRPr="00C45601">
        <w:rPr>
          <w:rFonts w:ascii="Times New Roman" w:hAnsi="Times New Roman" w:cs="Times New Roman"/>
          <w:sz w:val="24"/>
          <w:szCs w:val="24"/>
        </w:rPr>
        <w:t xml:space="preserve">[Kanıt: </w:t>
      </w:r>
      <w:r w:rsidR="00235976" w:rsidRPr="00C45601">
        <w:rPr>
          <w:rFonts w:ascii="Times New Roman" w:hAnsi="Times New Roman" w:cs="Times New Roman"/>
          <w:sz w:val="24"/>
          <w:szCs w:val="24"/>
        </w:rPr>
        <w:t>A.1.1_StratejikPlan2018_2023_StatüDegerlendirme_14102019</w:t>
      </w:r>
      <w:r w:rsidRPr="00C45601">
        <w:rPr>
          <w:rFonts w:ascii="Times New Roman" w:hAnsi="Times New Roman" w:cs="Times New Roman"/>
          <w:sz w:val="24"/>
          <w:szCs w:val="24"/>
        </w:rPr>
        <w:t>.pptx]</w:t>
      </w:r>
      <w:r>
        <w:rPr>
          <w:rFonts w:ascii="Times New Roman" w:hAnsi="Times New Roman" w:cs="Times New Roman"/>
          <w:sz w:val="24"/>
          <w:szCs w:val="24"/>
        </w:rPr>
        <w:t xml:space="preserve"> </w:t>
      </w:r>
      <w:r w:rsidRPr="00720BA5">
        <w:rPr>
          <w:rFonts w:ascii="Times New Roman" w:hAnsi="Times New Roman" w:cs="Times New Roman"/>
          <w:sz w:val="24"/>
          <w:szCs w:val="24"/>
        </w:rPr>
        <w:t xml:space="preserve">Bu çalışmalar çerçevesinde; 2020-2024 Stratejik Planı hazırlığının, bu takvime göre gecikmeyi en aza indirecek, ancak başarımından ödün vermeyecek bir yöntemle hazırlanması öngörülmüştür. Bu amaçla, geçmiş dönem yürütülen stratejik plan geliştirilmesi çalışmalarını dikkate alarak ve üniversitemizin stratejik planlama birikiminden yararlanarak aşağıdaki gibi aşamalı bir yöntem izlenmiştir: </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 xml:space="preserve">Stratejik plan ön hazırlığı </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 xml:space="preserve">Durum analizi </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 xml:space="preserve">Misyon, </w:t>
      </w:r>
      <w:proofErr w:type="gramStart"/>
      <w:r w:rsidRPr="00720BA5">
        <w:rPr>
          <w:rFonts w:ascii="Times New Roman" w:hAnsi="Times New Roman" w:cs="Times New Roman"/>
          <w:sz w:val="24"/>
          <w:szCs w:val="24"/>
        </w:rPr>
        <w:t>vizyon</w:t>
      </w:r>
      <w:proofErr w:type="gramEnd"/>
      <w:r w:rsidRPr="00720BA5">
        <w:rPr>
          <w:rFonts w:ascii="Times New Roman" w:hAnsi="Times New Roman" w:cs="Times New Roman"/>
          <w:sz w:val="24"/>
          <w:szCs w:val="24"/>
        </w:rPr>
        <w:t xml:space="preserve"> ve değerlerin gözden geçirilmesi </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Farklılaşma stratejilerinin belirlenmesi</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Farklılaşma stratejileri doğrultusunda amaç, hedef ve stratejiler ile performans göstergelerinin belirlenmesi</w:t>
      </w:r>
    </w:p>
    <w:p w:rsidR="004533E0" w:rsidRPr="00720BA5" w:rsidRDefault="004533E0" w:rsidP="004533E0">
      <w:pPr>
        <w:widowControl/>
        <w:numPr>
          <w:ilvl w:val="0"/>
          <w:numId w:val="4"/>
        </w:numPr>
        <w:spacing w:before="100" w:beforeAutospacing="1" w:after="100" w:afterAutospacing="1"/>
        <w:jc w:val="both"/>
        <w:rPr>
          <w:rFonts w:ascii="Times New Roman" w:hAnsi="Times New Roman" w:cs="Times New Roman"/>
          <w:sz w:val="24"/>
          <w:szCs w:val="24"/>
        </w:rPr>
      </w:pPr>
      <w:r w:rsidRPr="00720BA5">
        <w:rPr>
          <w:rFonts w:ascii="Times New Roman" w:hAnsi="Times New Roman" w:cs="Times New Roman"/>
          <w:sz w:val="24"/>
          <w:szCs w:val="24"/>
        </w:rPr>
        <w:t>Her hedef için stratejileri, performans göstergelerinin plan dönemi boyunca alması hedeflenen değerleri</w:t>
      </w:r>
      <w:r>
        <w:rPr>
          <w:rFonts w:ascii="Times New Roman" w:hAnsi="Times New Roman" w:cs="Times New Roman"/>
          <w:sz w:val="24"/>
          <w:szCs w:val="24"/>
        </w:rPr>
        <w:t>, sorumlu ve ilgili birimleri</w:t>
      </w:r>
      <w:r w:rsidRPr="00720BA5">
        <w:rPr>
          <w:rFonts w:ascii="Times New Roman" w:hAnsi="Times New Roman" w:cs="Times New Roman"/>
          <w:sz w:val="24"/>
          <w:szCs w:val="24"/>
        </w:rPr>
        <w:t>, olası projeleri içeren hedef kartlarının oluşturulması ve plana son halinin verilmesi.</w:t>
      </w:r>
    </w:p>
    <w:p w:rsidR="004533E0" w:rsidRDefault="004533E0" w:rsidP="004533E0">
      <w:pPr>
        <w:pStyle w:val="GvdeMetni"/>
        <w:ind w:left="0" w:right="39"/>
        <w:jc w:val="both"/>
        <w:rPr>
          <w:rFonts w:cs="Times New Roman"/>
        </w:rPr>
      </w:pPr>
      <w:r w:rsidRPr="008232AB">
        <w:rPr>
          <w:rFonts w:cs="Times New Roman"/>
        </w:rPr>
        <w:t>Bu yöntem, katılımcı, şeffaf ve çok boyutlu bir yaklaşım ile geliştirilmiş iş modeli sayesinde, farklı akademik ve idari birimlerden katılımcılardan oluşan çapraz fonksiyonel komitelerin geliştirdiği önerilere, bu öneriler ile ilgili akademik ve idari birimlerin kurumsal görüşlerine ve son olarak Stratejik Planlama ve Yürütme Kurulu (SPYK) değerlendirilmelerine dayanacaktır.</w:t>
      </w:r>
    </w:p>
    <w:p w:rsidR="004533E0" w:rsidRPr="008232AB" w:rsidRDefault="004533E0" w:rsidP="004533E0">
      <w:pPr>
        <w:pStyle w:val="GvdeMetni"/>
        <w:ind w:left="0" w:right="39"/>
        <w:jc w:val="both"/>
        <w:rPr>
          <w:rFonts w:cs="Times New Roman"/>
        </w:rPr>
      </w:pPr>
      <w:r>
        <w:rPr>
          <w:rFonts w:cs="Times New Roman"/>
        </w:rPr>
        <w:lastRenderedPageBreak/>
        <w:tab/>
      </w:r>
    </w:p>
    <w:p w:rsidR="004533E0" w:rsidRDefault="004533E0" w:rsidP="004533E0">
      <w:pPr>
        <w:pStyle w:val="GvdeMetni"/>
        <w:ind w:left="0" w:right="39"/>
        <w:jc w:val="both"/>
        <w:rPr>
          <w:rFonts w:cs="Times New Roman"/>
        </w:rPr>
      </w:pPr>
      <w:r w:rsidRPr="008232AB">
        <w:rPr>
          <w:rFonts w:cs="Times New Roman"/>
        </w:rPr>
        <w:t>Stratejik planın ve planın altını dolduracak projelerin geliştirilmesi aktivitelerinin şu organizasyon çerçevesinde yapılandırılması hedeflenmektedir: (a) Stratejik Planlama ve Yürütme Kurulu, (b) Stratejik Plan Geliştirme Komitesi, (c) Proje Yönetimi, (d) Stratejik Alan Komiteleri, (e) Akademik Birimler Alt Komiteleri, (f) İdari Birimler Alt Komiteleri şeklindedir.</w:t>
      </w:r>
    </w:p>
    <w:p w:rsidR="004533E0" w:rsidRPr="00720BA5" w:rsidRDefault="004533E0" w:rsidP="004533E0">
      <w:pPr>
        <w:pStyle w:val="GvdeMetni"/>
        <w:ind w:left="0" w:right="39"/>
        <w:jc w:val="both"/>
        <w:rPr>
          <w:rFonts w:cs="Times New Roman"/>
        </w:rPr>
      </w:pPr>
    </w:p>
    <w:p w:rsidR="004533E0" w:rsidRPr="00732DC6" w:rsidRDefault="004533E0" w:rsidP="004533E0">
      <w:pPr>
        <w:rPr>
          <w:rFonts w:ascii="Trebuchet MS" w:eastAsia="Calibri" w:hAnsi="Trebuchet MS" w:cs="Times New Roman"/>
          <w:sz w:val="24"/>
        </w:rPr>
      </w:pPr>
      <w:r w:rsidRPr="00732DC6">
        <w:rPr>
          <w:rFonts w:ascii="Trebuchet MS" w:hAnsi="Trebuchet MS"/>
          <w:noProof/>
          <w:lang w:eastAsia="tr-TR"/>
        </w:rPr>
        <mc:AlternateContent>
          <mc:Choice Requires="wps">
            <w:drawing>
              <wp:anchor distT="0" distB="0" distL="114300" distR="114300" simplePos="0" relativeHeight="251659264" behindDoc="0" locked="0" layoutInCell="1" allowOverlap="1" wp14:anchorId="27861E29" wp14:editId="5F3FD0E0">
                <wp:simplePos x="0" y="0"/>
                <wp:positionH relativeFrom="column">
                  <wp:posOffset>647700</wp:posOffset>
                </wp:positionH>
                <wp:positionV relativeFrom="paragraph">
                  <wp:posOffset>160020</wp:posOffset>
                </wp:positionV>
                <wp:extent cx="4870450" cy="304800"/>
                <wp:effectExtent l="57150" t="57150" r="25400" b="5715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0" cy="30480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53090F" w:rsidRDefault="004533E0" w:rsidP="004533E0">
                            <w:pPr>
                              <w:pStyle w:val="NormalWeb"/>
                              <w:jc w:val="center"/>
                              <w:rPr>
                                <w:rFonts w:ascii="Trebuchet MS" w:hAnsi="Trebuchet MS"/>
                                <w:color w:val="FFFFFF"/>
                                <w:sz w:val="16"/>
                                <w:szCs w:val="18"/>
                              </w:rPr>
                            </w:pPr>
                            <w:r w:rsidRPr="0053090F">
                              <w:rPr>
                                <w:rFonts w:ascii="Trebuchet MS" w:hAnsi="Trebuchet MS"/>
                                <w:color w:val="FFFFFF"/>
                                <w:kern w:val="24"/>
                                <w:sz w:val="20"/>
                                <w:lang w:val="tr-TR"/>
                              </w:rPr>
                              <w:t>Stratejik Planlama</w:t>
                            </w:r>
                            <w:r w:rsidRPr="0053090F">
                              <w:rPr>
                                <w:rFonts w:ascii="Trebuchet MS" w:hAnsi="Trebuchet MS"/>
                                <w:color w:val="FFFFFF"/>
                                <w:kern w:val="24"/>
                                <w:sz w:val="20"/>
                              </w:rPr>
                              <w:t xml:space="preserve"> </w:t>
                            </w:r>
                            <w:r w:rsidRPr="0053090F">
                              <w:rPr>
                                <w:rFonts w:ascii="Trebuchet MS" w:hAnsi="Trebuchet MS"/>
                                <w:color w:val="FFFFFF"/>
                                <w:kern w:val="24"/>
                                <w:sz w:val="20"/>
                                <w:lang w:val="tr-TR"/>
                              </w:rPr>
                              <w:t xml:space="preserve">ve Yürütme Kurulu </w:t>
                            </w:r>
                          </w:p>
                          <w:p w:rsidR="004533E0" w:rsidRDefault="004533E0" w:rsidP="004533E0"/>
                        </w:txbxContent>
                      </wps:txbx>
                      <wps:bodyPr wrap="square" anchor="ctr" anchorCtr="1">
                        <a:noAutofit/>
                      </wps:bodyPr>
                    </wps:wsp>
                  </a:graphicData>
                </a:graphic>
                <wp14:sizeRelH relativeFrom="margin">
                  <wp14:pctWidth>0</wp14:pctWidth>
                </wp14:sizeRelH>
                <wp14:sizeRelV relativeFrom="margin">
                  <wp14:pctHeight>0</wp14:pctHeight>
                </wp14:sizeRelV>
              </wp:anchor>
            </w:drawing>
          </mc:Choice>
          <mc:Fallback>
            <w:pict>
              <v:roundrect w14:anchorId="27861E29" id="Yuvarlatılmış Dikdörtgen 7" o:spid="_x0000_s1026" style="position:absolute;margin-left:51pt;margin-top:12.6pt;width:38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" fillcolor="#7f7f7f" stroked="f">
                <v:path arrowok="t"/>
                <v:textbox>
                  <w:txbxContent>
                    <w:p w:rsidR="004533E0" w:rsidRPr="0053090F" w:rsidRDefault="004533E0" w:rsidP="004533E0">
                      <w:pPr>
                        <w:pStyle w:val="NormalWeb"/>
                        <w:jc w:val="center"/>
                        <w:rPr>
                          <w:rFonts w:ascii="Trebuchet MS" w:hAnsi="Trebuchet MS"/>
                          <w:color w:val="FFFFFF"/>
                          <w:sz w:val="16"/>
                          <w:szCs w:val="18"/>
                        </w:rPr>
                      </w:pPr>
                      <w:r w:rsidRPr="0053090F">
                        <w:rPr>
                          <w:rFonts w:ascii="Trebuchet MS" w:hAnsi="Trebuchet MS"/>
                          <w:color w:val="FFFFFF"/>
                          <w:kern w:val="24"/>
                          <w:sz w:val="20"/>
                          <w:lang w:val="tr-TR"/>
                        </w:rPr>
                        <w:t>Stratejik Planlama</w:t>
                      </w:r>
                      <w:r w:rsidRPr="0053090F">
                        <w:rPr>
                          <w:rFonts w:ascii="Trebuchet MS" w:hAnsi="Trebuchet MS"/>
                          <w:color w:val="FFFFFF"/>
                          <w:kern w:val="24"/>
                          <w:sz w:val="20"/>
                        </w:rPr>
                        <w:t xml:space="preserve"> </w:t>
                      </w:r>
                      <w:r w:rsidRPr="0053090F">
                        <w:rPr>
                          <w:rFonts w:ascii="Trebuchet MS" w:hAnsi="Trebuchet MS"/>
                          <w:color w:val="FFFFFF"/>
                          <w:kern w:val="24"/>
                          <w:sz w:val="20"/>
                          <w:lang w:val="tr-TR"/>
                        </w:rPr>
                        <w:t xml:space="preserve">ve Yürütme Kurulu </w:t>
                      </w:r>
                    </w:p>
                    <w:p w:rsidR="004533E0" w:rsidRDefault="004533E0" w:rsidP="004533E0"/>
                  </w:txbxContent>
                </v:textbox>
              </v:roundrect>
            </w:pict>
          </mc:Fallback>
        </mc:AlternateContent>
      </w:r>
    </w:p>
    <w:p w:rsidR="004533E0" w:rsidRPr="00732DC6" w:rsidRDefault="004533E0" w:rsidP="004533E0">
      <w:pPr>
        <w:spacing w:after="120" w:line="259" w:lineRule="auto"/>
        <w:rPr>
          <w:rFonts w:ascii="Trebuchet MS" w:eastAsia="Calibri" w:hAnsi="Trebuchet MS" w:cs="Times New Roman"/>
          <w:sz w:val="24"/>
        </w:rPr>
      </w:pPr>
    </w:p>
    <w:p w:rsidR="004533E0" w:rsidRPr="00732DC6" w:rsidRDefault="004533E0" w:rsidP="004533E0">
      <w:pPr>
        <w:spacing w:before="40" w:line="259" w:lineRule="auto"/>
        <w:rPr>
          <w:rFonts w:ascii="Trebuchet MS" w:eastAsia="Calibri" w:hAnsi="Trebuchet MS" w:cs="Times New Roman"/>
          <w:sz w:val="24"/>
        </w:rPr>
      </w:pPr>
      <w:r w:rsidRPr="00732DC6">
        <w:rPr>
          <w:rFonts w:ascii="Trebuchet MS" w:hAnsi="Trebuchet MS"/>
          <w:noProof/>
          <w:lang w:eastAsia="tr-TR"/>
        </w:rPr>
        <mc:AlternateContent>
          <mc:Choice Requires="wps">
            <w:drawing>
              <wp:anchor distT="0" distB="0" distL="114300" distR="114300" simplePos="0" relativeHeight="251660288" behindDoc="0" locked="0" layoutInCell="1" allowOverlap="1" wp14:anchorId="2E3D143E" wp14:editId="783E5374">
                <wp:simplePos x="0" y="0"/>
                <wp:positionH relativeFrom="column">
                  <wp:posOffset>3848100</wp:posOffset>
                </wp:positionH>
                <wp:positionV relativeFrom="paragraph">
                  <wp:posOffset>126365</wp:posOffset>
                </wp:positionV>
                <wp:extent cx="1670050" cy="304800"/>
                <wp:effectExtent l="57150" t="57150" r="25400" b="5715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30480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Proje Yönetimi</w:t>
                            </w:r>
                          </w:p>
                        </w:txbxContent>
                      </wps:txbx>
                      <wps:bodyPr wrap="square" anchor="ctr" anchorCtr="1">
                        <a:noAutofit/>
                      </wps:bodyPr>
                    </wps:wsp>
                  </a:graphicData>
                </a:graphic>
                <wp14:sizeRelH relativeFrom="margin">
                  <wp14:pctWidth>0</wp14:pctWidth>
                </wp14:sizeRelH>
                <wp14:sizeRelV relativeFrom="page">
                  <wp14:pctHeight>0</wp14:pctHeight>
                </wp14:sizeRelV>
              </wp:anchor>
            </w:drawing>
          </mc:Choice>
          <mc:Fallback>
            <w:pict>
              <v:roundrect w14:anchorId="2E3D143E" id="Yuvarlatılmış Dikdörtgen 8" o:spid="_x0000_s1027" style="position:absolute;margin-left:303pt;margin-top:9.95pt;width:13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" fillcolor="#7f7f7f" stroked="f">
                <v:path arrowok="t"/>
                <v:textbo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Proje Yönetimi</w:t>
                      </w:r>
                    </w:p>
                  </w:txbxContent>
                </v:textbox>
              </v:roundrect>
            </w:pict>
          </mc:Fallback>
        </mc:AlternateContent>
      </w:r>
      <w:r w:rsidRPr="00732DC6">
        <w:rPr>
          <w:rFonts w:ascii="Trebuchet MS" w:hAnsi="Trebuchet MS"/>
          <w:noProof/>
          <w:lang w:eastAsia="tr-TR"/>
        </w:rPr>
        <mc:AlternateContent>
          <mc:Choice Requires="wps">
            <w:drawing>
              <wp:anchor distT="0" distB="0" distL="114300" distR="114300" simplePos="0" relativeHeight="251664384" behindDoc="0" locked="0" layoutInCell="1" allowOverlap="1" wp14:anchorId="0A148D8B" wp14:editId="5186BF79">
                <wp:simplePos x="0" y="0"/>
                <wp:positionH relativeFrom="column">
                  <wp:posOffset>660400</wp:posOffset>
                </wp:positionH>
                <wp:positionV relativeFrom="paragraph">
                  <wp:posOffset>120015</wp:posOffset>
                </wp:positionV>
                <wp:extent cx="3128645" cy="317500"/>
                <wp:effectExtent l="38100" t="57150" r="33655" b="444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8645" cy="31750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732DC6" w:rsidRDefault="004533E0" w:rsidP="004533E0">
                            <w:pPr>
                              <w:pStyle w:val="NormalWeb"/>
                              <w:jc w:val="center"/>
                              <w:rPr>
                                <w:rFonts w:ascii="Trebuchet MS" w:hAnsi="Trebuchet MS"/>
                                <w:sz w:val="16"/>
                                <w:szCs w:val="18"/>
                              </w:rPr>
                            </w:pPr>
                            <w:r w:rsidRPr="00732DC6">
                              <w:rPr>
                                <w:rFonts w:ascii="Trebuchet MS" w:hAnsi="Trebuchet MS"/>
                                <w:color w:val="FFFFFF"/>
                                <w:kern w:val="24"/>
                                <w:sz w:val="20"/>
                                <w:lang w:val="tr-TR"/>
                              </w:rPr>
                              <w:t xml:space="preserve">Stratejik Plan Geliştirme Komitesi </w:t>
                            </w:r>
                          </w:p>
                        </w:txbxContent>
                      </wps:txbx>
                      <wps:bodyPr wrap="square" anchor="ctr" anchorCtr="1">
                        <a:noAutofit/>
                      </wps:bodyPr>
                    </wps:wsp>
                  </a:graphicData>
                </a:graphic>
                <wp14:sizeRelH relativeFrom="page">
                  <wp14:pctWidth>0</wp14:pctWidth>
                </wp14:sizeRelH>
                <wp14:sizeRelV relativeFrom="margin">
                  <wp14:pctHeight>0</wp14:pctHeight>
                </wp14:sizeRelV>
              </wp:anchor>
            </w:drawing>
          </mc:Choice>
          <mc:Fallback>
            <w:pict>
              <v:roundrect w14:anchorId="0A148D8B" id="Yuvarlatılmış Dikdörtgen 9" o:spid="_x0000_s1028" style="position:absolute;margin-left:52pt;margin-top:9.45pt;width:246.3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" fillcolor="#7f7f7f" stroked="f">
                <v:path arrowok="t"/>
                <v:textbox>
                  <w:txbxContent>
                    <w:p w:rsidR="004533E0" w:rsidRPr="00732DC6" w:rsidRDefault="004533E0" w:rsidP="004533E0">
                      <w:pPr>
                        <w:pStyle w:val="NormalWeb"/>
                        <w:jc w:val="center"/>
                        <w:rPr>
                          <w:rFonts w:ascii="Trebuchet MS" w:hAnsi="Trebuchet MS"/>
                          <w:sz w:val="16"/>
                          <w:szCs w:val="18"/>
                        </w:rPr>
                      </w:pPr>
                      <w:r w:rsidRPr="00732DC6">
                        <w:rPr>
                          <w:rFonts w:ascii="Trebuchet MS" w:hAnsi="Trebuchet MS"/>
                          <w:color w:val="FFFFFF"/>
                          <w:kern w:val="24"/>
                          <w:sz w:val="20"/>
                          <w:lang w:val="tr-TR"/>
                        </w:rPr>
                        <w:t xml:space="preserve">Stratejik Plan Geliştirme Komitesi </w:t>
                      </w:r>
                    </w:p>
                  </w:txbxContent>
                </v:textbox>
              </v:roundrect>
            </w:pict>
          </mc:Fallback>
        </mc:AlternateContent>
      </w:r>
    </w:p>
    <w:p w:rsidR="004533E0" w:rsidRPr="00732DC6" w:rsidRDefault="004533E0" w:rsidP="004533E0">
      <w:pPr>
        <w:spacing w:before="40" w:line="259" w:lineRule="auto"/>
        <w:rPr>
          <w:rFonts w:ascii="Trebuchet MS" w:eastAsia="Calibri" w:hAnsi="Trebuchet MS" w:cs="Times New Roman"/>
          <w:sz w:val="24"/>
        </w:rPr>
      </w:pPr>
    </w:p>
    <w:p w:rsidR="004533E0" w:rsidRPr="00732DC6" w:rsidRDefault="004533E0" w:rsidP="004533E0">
      <w:pPr>
        <w:spacing w:before="40" w:line="259" w:lineRule="auto"/>
        <w:rPr>
          <w:rFonts w:ascii="Trebuchet MS" w:eastAsia="Calibri" w:hAnsi="Trebuchet MS" w:cs="Times New Roman"/>
          <w:sz w:val="24"/>
        </w:rPr>
      </w:pPr>
      <w:r w:rsidRPr="00732DC6">
        <w:rPr>
          <w:rFonts w:ascii="Trebuchet MS" w:hAnsi="Trebuchet MS"/>
          <w:noProof/>
          <w:lang w:eastAsia="tr-TR"/>
        </w:rPr>
        <mc:AlternateContent>
          <mc:Choice Requires="wps">
            <w:drawing>
              <wp:anchor distT="0" distB="0" distL="114300" distR="114300" simplePos="0" relativeHeight="251662336" behindDoc="0" locked="0" layoutInCell="1" allowOverlap="1" wp14:anchorId="396C64B7" wp14:editId="0E609F91">
                <wp:simplePos x="0" y="0"/>
                <wp:positionH relativeFrom="column">
                  <wp:posOffset>4191000</wp:posOffset>
                </wp:positionH>
                <wp:positionV relativeFrom="paragraph">
                  <wp:posOffset>103505</wp:posOffset>
                </wp:positionV>
                <wp:extent cx="1333500" cy="476250"/>
                <wp:effectExtent l="38100" t="57150" r="38100" b="3810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47625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İdari Birimler Alt Komiteleri</w:t>
                            </w:r>
                          </w:p>
                        </w:txbxContent>
                      </wps:txbx>
                      <wps:bodyPr wrap="square" anchor="ctr" anchorCtr="1">
                        <a:noAutofit/>
                      </wps:bodyPr>
                    </wps:wsp>
                  </a:graphicData>
                </a:graphic>
                <wp14:sizeRelH relativeFrom="page">
                  <wp14:pctWidth>0</wp14:pctWidth>
                </wp14:sizeRelH>
                <wp14:sizeRelV relativeFrom="margin">
                  <wp14:pctHeight>0</wp14:pctHeight>
                </wp14:sizeRelV>
              </wp:anchor>
            </w:drawing>
          </mc:Choice>
          <mc:Fallback>
            <w:pict>
              <v:roundrect w14:anchorId="396C64B7" id="Yuvarlatılmış Dikdörtgen 10" o:spid="_x0000_s1029" style="position:absolute;margin-left:330pt;margin-top:8.15pt;width:10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" fillcolor="#7f7f7f" stroked="f">
                <v:path arrowok="t"/>
                <v:textbo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İdari Birimler Alt Komiteleri</w:t>
                      </w:r>
                    </w:p>
                  </w:txbxContent>
                </v:textbox>
              </v:roundrect>
            </w:pict>
          </mc:Fallback>
        </mc:AlternateContent>
      </w:r>
      <w:r w:rsidRPr="00732DC6">
        <w:rPr>
          <w:rFonts w:ascii="Trebuchet MS" w:hAnsi="Trebuchet MS"/>
          <w:noProof/>
          <w:lang w:eastAsia="tr-TR"/>
        </w:rPr>
        <mc:AlternateContent>
          <mc:Choice Requires="wps">
            <w:drawing>
              <wp:anchor distT="0" distB="0" distL="114300" distR="114300" simplePos="0" relativeHeight="251663360" behindDoc="0" locked="0" layoutInCell="1" allowOverlap="1" wp14:anchorId="2BD64469" wp14:editId="560B359A">
                <wp:simplePos x="0" y="0"/>
                <wp:positionH relativeFrom="column">
                  <wp:posOffset>2063750</wp:posOffset>
                </wp:positionH>
                <wp:positionV relativeFrom="paragraph">
                  <wp:posOffset>109855</wp:posOffset>
                </wp:positionV>
                <wp:extent cx="2089150" cy="495300"/>
                <wp:effectExtent l="38100" t="57150" r="44450" b="5715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0" cy="49530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732DC6" w:rsidRDefault="004533E0" w:rsidP="004533E0">
                            <w:pPr>
                              <w:pStyle w:val="NormalWeb"/>
                              <w:jc w:val="center"/>
                              <w:rPr>
                                <w:rFonts w:hAnsi="Calibri"/>
                                <w:color w:val="FFFFFF"/>
                                <w:kern w:val="24"/>
                                <w:sz w:val="20"/>
                                <w:lang w:val="de-DE"/>
                              </w:rPr>
                            </w:pPr>
                            <w:r w:rsidRPr="00732DC6">
                              <w:rPr>
                                <w:rFonts w:ascii="Trebuchet MS" w:hAnsi="Trebuchet MS"/>
                                <w:color w:val="FFFFFF"/>
                                <w:kern w:val="24"/>
                                <w:sz w:val="20"/>
                                <w:lang w:val="tr-TR"/>
                              </w:rPr>
                              <w:t>Stratejik Alan Komiteleri (Süreç Geliştirme/ Çapraz-Tematik</w:t>
                            </w:r>
                            <w:r w:rsidRPr="00732DC6">
                              <w:rPr>
                                <w:rFonts w:hAnsi="Calibri"/>
                                <w:color w:val="FFFFFF"/>
                                <w:kern w:val="24"/>
                                <w:sz w:val="20"/>
                                <w:lang w:val="tr-TR"/>
                              </w:rPr>
                              <w:t xml:space="preserve"> </w:t>
                            </w:r>
                            <w:r w:rsidRPr="00732DC6">
                              <w:rPr>
                                <w:rFonts w:hAnsi="Calibri"/>
                                <w:color w:val="FFFFFF"/>
                                <w:kern w:val="24"/>
                                <w:sz w:val="20"/>
                                <w:lang w:val="tr-TR"/>
                              </w:rPr>
                              <w:t>Ç</w:t>
                            </w:r>
                            <w:r w:rsidRPr="00732DC6">
                              <w:rPr>
                                <w:rFonts w:hAnsi="Calibri"/>
                                <w:color w:val="FFFFFF"/>
                                <w:kern w:val="24"/>
                                <w:sz w:val="20"/>
                                <w:lang w:val="tr-TR"/>
                              </w:rPr>
                              <w:t>al</w:t>
                            </w:r>
                            <w:r w:rsidRPr="00732DC6">
                              <w:rPr>
                                <w:rFonts w:hAnsi="Calibri"/>
                                <w:color w:val="FFFFFF"/>
                                <w:kern w:val="24"/>
                                <w:sz w:val="20"/>
                                <w:lang w:val="tr-TR"/>
                              </w:rPr>
                              <w:t>ış</w:t>
                            </w:r>
                            <w:r w:rsidRPr="00732DC6">
                              <w:rPr>
                                <w:rFonts w:hAnsi="Calibri"/>
                                <w:color w:val="FFFFFF"/>
                                <w:kern w:val="24"/>
                                <w:sz w:val="20"/>
                                <w:lang w:val="tr-TR"/>
                              </w:rPr>
                              <w:t>ma)</w:t>
                            </w:r>
                          </w:p>
                        </w:txbxContent>
                      </wps:txbx>
                      <wps:bodyPr wrap="square" anchor="ctr" anchorCtr="1">
                        <a:noAutofit/>
                      </wps:bodyPr>
                    </wps:wsp>
                  </a:graphicData>
                </a:graphic>
                <wp14:sizeRelH relativeFrom="margin">
                  <wp14:pctWidth>0</wp14:pctWidth>
                </wp14:sizeRelH>
                <wp14:sizeRelV relativeFrom="margin">
                  <wp14:pctHeight>0</wp14:pctHeight>
                </wp14:sizeRelV>
              </wp:anchor>
            </w:drawing>
          </mc:Choice>
          <mc:Fallback>
            <w:pict>
              <v:roundrect w14:anchorId="2BD64469" id="Yuvarlatılmış Dikdörtgen 11" o:spid="_x0000_s1030" style="position:absolute;margin-left:162.5pt;margin-top:8.65pt;width:164.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" fillcolor="#7f7f7f" stroked="f">
                <v:path arrowok="t"/>
                <v:textbox>
                  <w:txbxContent>
                    <w:p w:rsidR="004533E0" w:rsidRPr="00732DC6" w:rsidRDefault="004533E0" w:rsidP="004533E0">
                      <w:pPr>
                        <w:pStyle w:val="NormalWeb"/>
                        <w:jc w:val="center"/>
                        <w:rPr>
                          <w:rFonts w:hAnsi="Calibri"/>
                          <w:color w:val="FFFFFF"/>
                          <w:kern w:val="24"/>
                          <w:sz w:val="20"/>
                          <w:lang w:val="de-DE"/>
                        </w:rPr>
                      </w:pPr>
                      <w:r w:rsidRPr="00732DC6">
                        <w:rPr>
                          <w:rFonts w:ascii="Trebuchet MS" w:hAnsi="Trebuchet MS"/>
                          <w:color w:val="FFFFFF"/>
                          <w:kern w:val="24"/>
                          <w:sz w:val="20"/>
                          <w:lang w:val="tr-TR"/>
                        </w:rPr>
                        <w:t>Stratejik Alan Komiteleri (Süreç Geliştirme/ Çapraz-Tematik</w:t>
                      </w:r>
                      <w:r w:rsidRPr="00732DC6">
                        <w:rPr>
                          <w:rFonts w:hAnsi="Calibri"/>
                          <w:color w:val="FFFFFF"/>
                          <w:kern w:val="24"/>
                          <w:sz w:val="20"/>
                          <w:lang w:val="tr-TR"/>
                        </w:rPr>
                        <w:t xml:space="preserve"> </w:t>
                      </w:r>
                      <w:r w:rsidRPr="00732DC6">
                        <w:rPr>
                          <w:rFonts w:hAnsi="Calibri"/>
                          <w:color w:val="FFFFFF"/>
                          <w:kern w:val="24"/>
                          <w:sz w:val="20"/>
                          <w:lang w:val="tr-TR"/>
                        </w:rPr>
                        <w:t>Ç</w:t>
                      </w:r>
                      <w:r w:rsidRPr="00732DC6">
                        <w:rPr>
                          <w:rFonts w:hAnsi="Calibri"/>
                          <w:color w:val="FFFFFF"/>
                          <w:kern w:val="24"/>
                          <w:sz w:val="20"/>
                          <w:lang w:val="tr-TR"/>
                        </w:rPr>
                        <w:t>al</w:t>
                      </w:r>
                      <w:r w:rsidRPr="00732DC6">
                        <w:rPr>
                          <w:rFonts w:hAnsi="Calibri"/>
                          <w:color w:val="FFFFFF"/>
                          <w:kern w:val="24"/>
                          <w:sz w:val="20"/>
                          <w:lang w:val="tr-TR"/>
                        </w:rPr>
                        <w:t>ış</w:t>
                      </w:r>
                      <w:r w:rsidRPr="00732DC6">
                        <w:rPr>
                          <w:rFonts w:hAnsi="Calibri"/>
                          <w:color w:val="FFFFFF"/>
                          <w:kern w:val="24"/>
                          <w:sz w:val="20"/>
                          <w:lang w:val="tr-TR"/>
                        </w:rPr>
                        <w:t>ma)</w:t>
                      </w:r>
                    </w:p>
                  </w:txbxContent>
                </v:textbox>
              </v:roundrect>
            </w:pict>
          </mc:Fallback>
        </mc:AlternateContent>
      </w:r>
      <w:r w:rsidRPr="00732DC6">
        <w:rPr>
          <w:rFonts w:ascii="Trebuchet MS" w:hAnsi="Trebuchet MS"/>
          <w:noProof/>
          <w:lang w:eastAsia="tr-TR"/>
        </w:rPr>
        <mc:AlternateContent>
          <mc:Choice Requires="wps">
            <w:drawing>
              <wp:anchor distT="0" distB="0" distL="114300" distR="114300" simplePos="0" relativeHeight="251661312" behindDoc="0" locked="0" layoutInCell="1" allowOverlap="1" wp14:anchorId="07143D66" wp14:editId="2E842D79">
                <wp:simplePos x="0" y="0"/>
                <wp:positionH relativeFrom="column">
                  <wp:posOffset>641350</wp:posOffset>
                </wp:positionH>
                <wp:positionV relativeFrom="paragraph">
                  <wp:posOffset>116205</wp:posOffset>
                </wp:positionV>
                <wp:extent cx="1384300" cy="495300"/>
                <wp:effectExtent l="38100" t="57150" r="44450" b="57150"/>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0" cy="495300"/>
                        </a:xfrm>
                        <a:prstGeom prst="roundRect">
                          <a:avLst>
                            <a:gd name="adj" fmla="val 30178"/>
                          </a:avLst>
                        </a:prstGeom>
                        <a:solidFill>
                          <a:sysClr val="window" lastClr="FFFFFF">
                            <a:lumMod val="50000"/>
                          </a:sysClr>
                        </a:solidFill>
                        <a:ln>
                          <a:noFill/>
                        </a:ln>
                        <a:effectLst/>
                        <a:scene3d>
                          <a:camera prst="orthographicFront"/>
                          <a:lightRig rig="flat" dir="t"/>
                        </a:scene3d>
                        <a:sp3d prstMaterial="plastic">
                          <a:bevelT w="120900" h="88900"/>
                          <a:bevelB w="88900" h="31750" prst="angle"/>
                        </a:sp3d>
                      </wps:spPr>
                      <wps:txb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Akademik Birimler Alt Komiteleri</w:t>
                            </w:r>
                          </w:p>
                        </w:txbxContent>
                      </wps:txbx>
                      <wps:bodyPr wrap="square" anchor="ctr" anchorCtr="1">
                        <a:noAutofit/>
                      </wps:bodyPr>
                    </wps:wsp>
                  </a:graphicData>
                </a:graphic>
                <wp14:sizeRelH relativeFrom="page">
                  <wp14:pctWidth>0</wp14:pctWidth>
                </wp14:sizeRelH>
                <wp14:sizeRelV relativeFrom="margin">
                  <wp14:pctHeight>0</wp14:pctHeight>
                </wp14:sizeRelV>
              </wp:anchor>
            </w:drawing>
          </mc:Choice>
          <mc:Fallback>
            <w:pict>
              <v:roundrect w14:anchorId="07143D66" id="Yuvarlatılmış Dikdörtgen 12" o:spid="_x0000_s1031" style="position:absolute;margin-left:50.5pt;margin-top:9.15pt;width:109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9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" fillcolor="#7f7f7f" stroked="f">
                <v:path arrowok="t"/>
                <v:textbox>
                  <w:txbxContent>
                    <w:p w:rsidR="004533E0" w:rsidRPr="00732DC6" w:rsidRDefault="004533E0" w:rsidP="004533E0">
                      <w:pPr>
                        <w:pStyle w:val="NormalWeb"/>
                        <w:jc w:val="center"/>
                        <w:rPr>
                          <w:rFonts w:ascii="Trebuchet MS" w:hAnsi="Trebuchet MS"/>
                          <w:color w:val="FFFFFF"/>
                          <w:kern w:val="24"/>
                          <w:sz w:val="20"/>
                          <w:lang w:val="tr-TR"/>
                        </w:rPr>
                      </w:pPr>
                      <w:r w:rsidRPr="00732DC6">
                        <w:rPr>
                          <w:rFonts w:ascii="Trebuchet MS" w:hAnsi="Trebuchet MS"/>
                          <w:color w:val="FFFFFF"/>
                          <w:kern w:val="24"/>
                          <w:sz w:val="20"/>
                          <w:lang w:val="tr-TR"/>
                        </w:rPr>
                        <w:t>Akademik Birimler Alt Komiteleri</w:t>
                      </w:r>
                    </w:p>
                  </w:txbxContent>
                </v:textbox>
              </v:roundrect>
            </w:pict>
          </mc:Fallback>
        </mc:AlternateContent>
      </w:r>
    </w:p>
    <w:p w:rsidR="004533E0" w:rsidRDefault="004533E0" w:rsidP="004533E0">
      <w:pPr>
        <w:pStyle w:val="GvdeMetni"/>
        <w:ind w:left="0" w:right="39"/>
        <w:jc w:val="both"/>
        <w:rPr>
          <w:rFonts w:cs="Times New Roman"/>
          <w:highlight w:val="cyan"/>
        </w:rPr>
      </w:pPr>
    </w:p>
    <w:p w:rsidR="004533E0" w:rsidRPr="000D63A0" w:rsidRDefault="004533E0" w:rsidP="004533E0">
      <w:pPr>
        <w:pStyle w:val="GvdeMetni"/>
        <w:ind w:left="0" w:right="39"/>
        <w:jc w:val="both"/>
        <w:rPr>
          <w:rFonts w:cs="Times New Roman"/>
          <w:highlight w:val="cyan"/>
        </w:rPr>
      </w:pPr>
    </w:p>
    <w:p w:rsidR="004533E0" w:rsidRDefault="004533E0" w:rsidP="004533E0">
      <w:pPr>
        <w:pStyle w:val="ListeParagraf"/>
        <w:widowControl/>
        <w:spacing w:line="259" w:lineRule="auto"/>
        <w:ind w:left="792"/>
        <w:jc w:val="both"/>
        <w:rPr>
          <w:rFonts w:ascii="Trebuchet MS" w:hAnsi="Trebuchet MS" w:cs="Times New Roman"/>
        </w:rPr>
      </w:pPr>
    </w:p>
    <w:p w:rsidR="004533E0" w:rsidRDefault="004533E0" w:rsidP="004533E0">
      <w:pPr>
        <w:pStyle w:val="ListeParagraf"/>
        <w:widowControl/>
        <w:spacing w:line="259" w:lineRule="auto"/>
        <w:ind w:left="792"/>
        <w:jc w:val="both"/>
        <w:rPr>
          <w:rFonts w:ascii="Trebuchet MS" w:hAnsi="Trebuchet MS" w:cs="Times New Roman"/>
        </w:rPr>
      </w:pPr>
    </w:p>
    <w:p w:rsidR="004533E0" w:rsidRPr="009F3B63" w:rsidRDefault="004533E0" w:rsidP="004533E0">
      <w:pPr>
        <w:pStyle w:val="ListeParagraf"/>
        <w:widowControl/>
        <w:numPr>
          <w:ilvl w:val="1"/>
          <w:numId w:val="5"/>
        </w:numPr>
        <w:spacing w:line="259" w:lineRule="auto"/>
        <w:jc w:val="both"/>
        <w:rPr>
          <w:rFonts w:ascii="Times New Roman" w:hAnsi="Times New Roman" w:cs="Times New Roman"/>
          <w:sz w:val="24"/>
          <w:szCs w:val="24"/>
        </w:rPr>
      </w:pPr>
      <w:r w:rsidRPr="009F3B63">
        <w:rPr>
          <w:rFonts w:ascii="Times New Roman" w:hAnsi="Times New Roman" w:cs="Times New Roman"/>
          <w:sz w:val="24"/>
          <w:szCs w:val="24"/>
        </w:rPr>
        <w:t>Stratejik Planlama ve Yürütme Kurulu (</w:t>
      </w:r>
      <w:r w:rsidRPr="009F3B63">
        <w:rPr>
          <w:rFonts w:ascii="Times New Roman" w:hAnsi="Times New Roman" w:cs="Times New Roman"/>
          <w:b/>
          <w:bCs/>
          <w:sz w:val="24"/>
          <w:szCs w:val="24"/>
        </w:rPr>
        <w:t>SPYK</w:t>
      </w:r>
      <w:r w:rsidRPr="009F3B63">
        <w:rPr>
          <w:rFonts w:ascii="Times New Roman" w:hAnsi="Times New Roman" w:cs="Times New Roman"/>
          <w:sz w:val="24"/>
          <w:szCs w:val="24"/>
        </w:rPr>
        <w:t>); Mütevelli Heyeti, Rektörlük Yönetimi, Fakülte Yöneticileri, Enstitü Yöneticileri ve Yüksekokul Yöneticilerinden oluşmak üzere, en üst olur ve karar alma birimidir.</w:t>
      </w:r>
    </w:p>
    <w:p w:rsidR="004533E0" w:rsidRPr="009F3B63" w:rsidRDefault="004533E0" w:rsidP="004533E0">
      <w:pPr>
        <w:pStyle w:val="ListeParagraf"/>
        <w:widowControl/>
        <w:numPr>
          <w:ilvl w:val="1"/>
          <w:numId w:val="5"/>
        </w:numPr>
        <w:spacing w:line="259" w:lineRule="auto"/>
        <w:ind w:left="788" w:hanging="431"/>
        <w:jc w:val="both"/>
        <w:rPr>
          <w:rFonts w:ascii="Times New Roman" w:hAnsi="Times New Roman" w:cs="Times New Roman"/>
          <w:sz w:val="24"/>
          <w:szCs w:val="24"/>
        </w:rPr>
      </w:pPr>
      <w:r w:rsidRPr="009F3B63">
        <w:rPr>
          <w:rFonts w:ascii="Times New Roman" w:hAnsi="Times New Roman" w:cs="Times New Roman"/>
          <w:sz w:val="24"/>
          <w:szCs w:val="24"/>
        </w:rPr>
        <w:t>Stratejik Plan Geliştirme Komitesi (</w:t>
      </w:r>
      <w:r w:rsidRPr="009F3B63">
        <w:rPr>
          <w:rFonts w:ascii="Times New Roman" w:hAnsi="Times New Roman" w:cs="Times New Roman"/>
          <w:b/>
          <w:bCs/>
          <w:sz w:val="24"/>
          <w:szCs w:val="24"/>
        </w:rPr>
        <w:t>SPGK</w:t>
      </w:r>
      <w:r w:rsidRPr="009F3B63">
        <w:rPr>
          <w:rFonts w:ascii="Times New Roman" w:hAnsi="Times New Roman" w:cs="Times New Roman"/>
          <w:sz w:val="24"/>
          <w:szCs w:val="24"/>
        </w:rPr>
        <w:t xml:space="preserve">); Üniversite Rektör’ü başkanlığı ve liderliğinde, ilgili idari ve akademik birimlerden birer asli yetkilinin yer alacağı, stratejik anahtar alanların ve kavramların belirleneceği, akademik ve idari alt komiteler ve alan komiteleriyle yönetişimin sağlanacağı, raporun yazımı ve strateji geliştirilmesinde etkin olacak ve </w:t>
      </w:r>
      <w:proofErr w:type="spellStart"/>
      <w:r w:rsidRPr="009F3B63">
        <w:rPr>
          <w:rFonts w:ascii="Times New Roman" w:hAnsi="Times New Roman" w:cs="Times New Roman"/>
          <w:sz w:val="24"/>
          <w:szCs w:val="24"/>
        </w:rPr>
        <w:t>SPYK’ya</w:t>
      </w:r>
      <w:proofErr w:type="spellEnd"/>
      <w:r w:rsidRPr="009F3B63">
        <w:rPr>
          <w:rFonts w:ascii="Times New Roman" w:hAnsi="Times New Roman" w:cs="Times New Roman"/>
          <w:sz w:val="24"/>
          <w:szCs w:val="24"/>
        </w:rPr>
        <w:t xml:space="preserve"> arzda bulunacak birimdir.</w:t>
      </w:r>
    </w:p>
    <w:p w:rsidR="004533E0" w:rsidRPr="009F3B63" w:rsidRDefault="004533E0" w:rsidP="004533E0">
      <w:pPr>
        <w:pStyle w:val="ListeParagraf"/>
        <w:widowControl/>
        <w:numPr>
          <w:ilvl w:val="1"/>
          <w:numId w:val="5"/>
        </w:numPr>
        <w:spacing w:line="259" w:lineRule="auto"/>
        <w:ind w:left="788" w:hanging="431"/>
        <w:jc w:val="both"/>
        <w:rPr>
          <w:rFonts w:ascii="Times New Roman" w:hAnsi="Times New Roman" w:cs="Times New Roman"/>
          <w:sz w:val="24"/>
          <w:szCs w:val="24"/>
        </w:rPr>
      </w:pPr>
      <w:r w:rsidRPr="009F3B63">
        <w:rPr>
          <w:rFonts w:ascii="Times New Roman" w:hAnsi="Times New Roman" w:cs="Times New Roman"/>
          <w:sz w:val="24"/>
          <w:szCs w:val="24"/>
        </w:rPr>
        <w:t>Proje Yönetimi Ofisi (</w:t>
      </w:r>
      <w:r w:rsidRPr="009F3B63">
        <w:rPr>
          <w:rFonts w:ascii="Times New Roman" w:hAnsi="Times New Roman" w:cs="Times New Roman"/>
          <w:b/>
          <w:bCs/>
          <w:sz w:val="24"/>
          <w:szCs w:val="24"/>
        </w:rPr>
        <w:t>PY</w:t>
      </w:r>
      <w:r w:rsidRPr="009F3B63">
        <w:rPr>
          <w:rFonts w:ascii="Times New Roman" w:hAnsi="Times New Roman" w:cs="Times New Roman"/>
          <w:sz w:val="24"/>
          <w:szCs w:val="24"/>
        </w:rPr>
        <w:t xml:space="preserve">); Kurumsal Gelişim ve Planlama Koordinatörlüğü tarafından yürütülmek üzere, tüm birimlerin çalışmalarının ve çıktıların ilgi kapsam ve </w:t>
      </w:r>
      <w:r w:rsidR="00383B1F">
        <w:rPr>
          <w:rFonts w:ascii="Times New Roman" w:hAnsi="Times New Roman" w:cs="Times New Roman"/>
          <w:sz w:val="24"/>
          <w:szCs w:val="24"/>
        </w:rPr>
        <w:t xml:space="preserve">takvim dâhilinde gerçekleşmesi için </w:t>
      </w:r>
      <w:r w:rsidRPr="009F3B63">
        <w:rPr>
          <w:rFonts w:ascii="Times New Roman" w:hAnsi="Times New Roman" w:cs="Times New Roman"/>
          <w:sz w:val="24"/>
          <w:szCs w:val="24"/>
        </w:rPr>
        <w:t>tüm toplantı organizasyonları ve oturum sekretarya işlemlerinin sağlanacağı, tüm komitelere katılım ve danışmanlık verebilecek, sürecin devamlılığı ve kurumsal hafızanın güvence altına alınacağı birimdir.</w:t>
      </w:r>
    </w:p>
    <w:p w:rsidR="004533E0" w:rsidRPr="009F3B63" w:rsidRDefault="004533E0" w:rsidP="004533E0">
      <w:pPr>
        <w:pStyle w:val="ListeParagraf"/>
        <w:widowControl/>
        <w:numPr>
          <w:ilvl w:val="1"/>
          <w:numId w:val="5"/>
        </w:numPr>
        <w:spacing w:line="259" w:lineRule="auto"/>
        <w:jc w:val="both"/>
        <w:rPr>
          <w:rFonts w:ascii="Times New Roman" w:hAnsi="Times New Roman" w:cs="Times New Roman"/>
          <w:sz w:val="24"/>
          <w:szCs w:val="24"/>
        </w:rPr>
      </w:pPr>
      <w:r w:rsidRPr="009F3B63">
        <w:rPr>
          <w:rFonts w:ascii="Times New Roman" w:hAnsi="Times New Roman" w:cs="Times New Roman"/>
          <w:sz w:val="24"/>
          <w:szCs w:val="24"/>
        </w:rPr>
        <w:t>Akademik Birim Alt Komiteleri (</w:t>
      </w:r>
      <w:r w:rsidRPr="009F3B63">
        <w:rPr>
          <w:rFonts w:ascii="Times New Roman" w:hAnsi="Times New Roman" w:cs="Times New Roman"/>
          <w:b/>
          <w:bCs/>
          <w:sz w:val="24"/>
          <w:szCs w:val="24"/>
        </w:rPr>
        <w:t>ABAK</w:t>
      </w:r>
      <w:r w:rsidRPr="009F3B63">
        <w:rPr>
          <w:rFonts w:ascii="Times New Roman" w:hAnsi="Times New Roman" w:cs="Times New Roman"/>
          <w:sz w:val="24"/>
          <w:szCs w:val="24"/>
        </w:rPr>
        <w:t>) ve İdari Birim Alt Komiteleri (</w:t>
      </w:r>
      <w:r w:rsidRPr="009F3B63">
        <w:rPr>
          <w:rFonts w:ascii="Times New Roman" w:hAnsi="Times New Roman" w:cs="Times New Roman"/>
          <w:b/>
          <w:bCs/>
          <w:sz w:val="24"/>
          <w:szCs w:val="24"/>
        </w:rPr>
        <w:t>İBAK</w:t>
      </w:r>
      <w:r w:rsidRPr="009F3B63">
        <w:rPr>
          <w:rFonts w:ascii="Times New Roman" w:hAnsi="Times New Roman" w:cs="Times New Roman"/>
          <w:sz w:val="24"/>
          <w:szCs w:val="24"/>
        </w:rPr>
        <w:t>) ve Stratejik Alan Komiteleri (</w:t>
      </w:r>
      <w:r w:rsidRPr="009F3B63">
        <w:rPr>
          <w:rFonts w:ascii="Times New Roman" w:hAnsi="Times New Roman" w:cs="Times New Roman"/>
          <w:b/>
          <w:bCs/>
          <w:sz w:val="24"/>
          <w:szCs w:val="24"/>
        </w:rPr>
        <w:t>SAK</w:t>
      </w:r>
      <w:r w:rsidRPr="009F3B63">
        <w:rPr>
          <w:rFonts w:ascii="Times New Roman" w:hAnsi="Times New Roman" w:cs="Times New Roman"/>
          <w:sz w:val="24"/>
          <w:szCs w:val="24"/>
        </w:rPr>
        <w:t xml:space="preserve">); tüm akademik ve idari birimlerin, kendi birimleri özelinde, diğer birimlerle ortak iş/ süreç geliştirmeleri genelinde 2020-2024 dönemindeki gelişim ve ilerlemeye dair etüt ve istişare ve çıktı üretim birimlerdir. </w:t>
      </w:r>
    </w:p>
    <w:p w:rsidR="004533E0" w:rsidRPr="009F3B63" w:rsidRDefault="004533E0" w:rsidP="004533E0">
      <w:pPr>
        <w:pStyle w:val="ListeParagraf"/>
        <w:widowControl/>
        <w:numPr>
          <w:ilvl w:val="2"/>
          <w:numId w:val="5"/>
        </w:numPr>
        <w:spacing w:line="259" w:lineRule="auto"/>
        <w:ind w:left="1560" w:hanging="709"/>
        <w:jc w:val="both"/>
        <w:rPr>
          <w:rFonts w:ascii="Times New Roman" w:hAnsi="Times New Roman" w:cs="Times New Roman"/>
          <w:sz w:val="24"/>
          <w:szCs w:val="24"/>
        </w:rPr>
      </w:pPr>
      <w:r w:rsidRPr="009F3B63">
        <w:rPr>
          <w:rFonts w:ascii="Times New Roman" w:hAnsi="Times New Roman" w:cs="Times New Roman"/>
          <w:sz w:val="24"/>
          <w:szCs w:val="24"/>
        </w:rPr>
        <w:t>ABAK ve İBAK birimleri ilgi yöneticiler tarafından ilgi birimi temsilen asgari bir yetkili, tercihen birkaç yetkiliden oluşan ekipler olmak üzere, SAK oluşumlarında diğer ABAK ve İBAK birimleri ile alan bazında tematik çalışabilecektir.</w:t>
      </w:r>
    </w:p>
    <w:p w:rsidR="004533E0" w:rsidRPr="009F3B63" w:rsidRDefault="004533E0" w:rsidP="004533E0">
      <w:pPr>
        <w:pStyle w:val="ListeParagraf"/>
        <w:widowControl/>
        <w:numPr>
          <w:ilvl w:val="2"/>
          <w:numId w:val="5"/>
        </w:numPr>
        <w:spacing w:line="259" w:lineRule="auto"/>
        <w:ind w:left="1560" w:hanging="709"/>
        <w:jc w:val="both"/>
        <w:rPr>
          <w:rFonts w:ascii="Times New Roman" w:hAnsi="Times New Roman" w:cs="Times New Roman"/>
          <w:sz w:val="24"/>
          <w:szCs w:val="24"/>
        </w:rPr>
      </w:pPr>
      <w:r w:rsidRPr="009F3B63">
        <w:rPr>
          <w:rFonts w:ascii="Times New Roman" w:hAnsi="Times New Roman" w:cs="Times New Roman"/>
          <w:sz w:val="24"/>
          <w:szCs w:val="24"/>
        </w:rPr>
        <w:t>ABAK ve İBAK birimleri, 2018-2023 dönemi hedef ve göstergelerinin gözden geçirilmesi ve 2020-2024 dönemi için güncelleme talep edilmesinde de ilgili birimler adına girdi sağlayacaktır.</w:t>
      </w:r>
    </w:p>
    <w:p w:rsidR="00BB6FE1" w:rsidRPr="00BB6FE1" w:rsidRDefault="00BB6FE1" w:rsidP="00D132AA">
      <w:pPr>
        <w:widowControl/>
        <w:spacing w:after="160" w:line="259" w:lineRule="auto"/>
        <w:jc w:val="both"/>
        <w:rPr>
          <w:rFonts w:ascii="Times New Roman" w:hAnsi="Times New Roman" w:cs="Times New Roman"/>
          <w:sz w:val="8"/>
          <w:szCs w:val="8"/>
        </w:rPr>
      </w:pPr>
    </w:p>
    <w:p w:rsidR="004533E0" w:rsidRPr="008516DC" w:rsidRDefault="004533E0" w:rsidP="00D132AA">
      <w:pPr>
        <w:widowControl/>
        <w:spacing w:after="160" w:line="259" w:lineRule="auto"/>
        <w:jc w:val="both"/>
        <w:rPr>
          <w:rFonts w:ascii="Times New Roman" w:hAnsi="Times New Roman" w:cs="Times New Roman"/>
          <w:sz w:val="24"/>
          <w:szCs w:val="24"/>
        </w:rPr>
      </w:pPr>
      <w:r w:rsidRPr="00B4206C">
        <w:rPr>
          <w:rFonts w:ascii="Times New Roman" w:hAnsi="Times New Roman" w:cs="Times New Roman"/>
          <w:sz w:val="24"/>
        </w:rPr>
        <w:t xml:space="preserve">Kurgulanan iş modeli ve çalışma </w:t>
      </w:r>
      <w:proofErr w:type="gramStart"/>
      <w:r w:rsidRPr="00B4206C">
        <w:rPr>
          <w:rFonts w:ascii="Times New Roman" w:hAnsi="Times New Roman" w:cs="Times New Roman"/>
          <w:sz w:val="24"/>
        </w:rPr>
        <w:t>metodolojisi</w:t>
      </w:r>
      <w:proofErr w:type="gramEnd"/>
      <w:r w:rsidRPr="00B4206C">
        <w:rPr>
          <w:rFonts w:ascii="Times New Roman" w:hAnsi="Times New Roman" w:cs="Times New Roman"/>
          <w:sz w:val="24"/>
        </w:rPr>
        <w:t xml:space="preserve"> </w:t>
      </w:r>
      <w:r w:rsidR="00462147" w:rsidRPr="00C45601">
        <w:rPr>
          <w:rFonts w:ascii="Times New Roman" w:hAnsi="Times New Roman" w:cs="Times New Roman"/>
          <w:sz w:val="24"/>
        </w:rPr>
        <w:t>A.1.7_StratejikPlan2020_2024 ProjeBaşlangıçDokümanı_190919.pdf</w:t>
      </w:r>
      <w:r w:rsidR="00462147">
        <w:rPr>
          <w:rFonts w:ascii="Times New Roman" w:hAnsi="Times New Roman" w:cs="Times New Roman"/>
          <w:sz w:val="24"/>
        </w:rPr>
        <w:t xml:space="preserve"> olarak sunulmuştur. Bu çerçevede</w:t>
      </w:r>
      <w:r w:rsidRPr="00B4206C">
        <w:rPr>
          <w:rFonts w:ascii="Times New Roman" w:hAnsi="Times New Roman" w:cs="Times New Roman"/>
          <w:sz w:val="24"/>
        </w:rPr>
        <w:t>;</w:t>
      </w:r>
      <w:r>
        <w:rPr>
          <w:rFonts w:ascii="Times New Roman" w:hAnsi="Times New Roman" w:cs="Times New Roman"/>
          <w:sz w:val="24"/>
        </w:rPr>
        <w:t xml:space="preserve"> öğrencilerimizin (ulusal ve uluslararası) ve mezunlarımızın</w:t>
      </w:r>
      <w:r w:rsidR="00D132AA">
        <w:rPr>
          <w:rFonts w:ascii="Times New Roman" w:hAnsi="Times New Roman" w:cs="Times New Roman"/>
          <w:sz w:val="24"/>
        </w:rPr>
        <w:t xml:space="preserve"> </w:t>
      </w:r>
      <w:r>
        <w:rPr>
          <w:rFonts w:ascii="Times New Roman" w:hAnsi="Times New Roman" w:cs="Times New Roman"/>
          <w:sz w:val="24"/>
        </w:rPr>
        <w:t xml:space="preserve">da </w:t>
      </w:r>
      <w:proofErr w:type="gramStart"/>
      <w:r>
        <w:rPr>
          <w:rFonts w:ascii="Times New Roman" w:hAnsi="Times New Roman" w:cs="Times New Roman"/>
          <w:sz w:val="24"/>
        </w:rPr>
        <w:t>dahil</w:t>
      </w:r>
      <w:proofErr w:type="gramEnd"/>
      <w:r>
        <w:rPr>
          <w:rFonts w:ascii="Times New Roman" w:hAnsi="Times New Roman" w:cs="Times New Roman"/>
          <w:sz w:val="24"/>
        </w:rPr>
        <w:t xml:space="preserve"> olabileceği </w:t>
      </w:r>
      <w:proofErr w:type="spellStart"/>
      <w:r>
        <w:rPr>
          <w:rFonts w:ascii="Times New Roman" w:hAnsi="Times New Roman" w:cs="Times New Roman"/>
          <w:sz w:val="24"/>
        </w:rPr>
        <w:t>çalıştaylar</w:t>
      </w:r>
      <w:proofErr w:type="spellEnd"/>
      <w:r>
        <w:rPr>
          <w:rFonts w:ascii="Times New Roman" w:hAnsi="Times New Roman" w:cs="Times New Roman"/>
          <w:sz w:val="24"/>
        </w:rPr>
        <w:t xml:space="preserve">/ faaliyetler organize edilmiş ve aşağıda verilmiş olan 5 stratejik öncelikli </w:t>
      </w:r>
      <w:r w:rsidRPr="008516DC">
        <w:rPr>
          <w:rFonts w:ascii="Times New Roman" w:hAnsi="Times New Roman" w:cs="Times New Roman"/>
          <w:sz w:val="24"/>
          <w:szCs w:val="24"/>
        </w:rPr>
        <w:t>alan tespit edilmiştir;</w:t>
      </w:r>
    </w:p>
    <w:p w:rsidR="004533E0" w:rsidRPr="008516DC" w:rsidRDefault="004533E0" w:rsidP="004533E0">
      <w:pPr>
        <w:pStyle w:val="ListeParagraf"/>
        <w:widowControl/>
        <w:numPr>
          <w:ilvl w:val="0"/>
          <w:numId w:val="6"/>
        </w:numPr>
        <w:spacing w:after="160" w:line="259" w:lineRule="auto"/>
        <w:rPr>
          <w:rFonts w:ascii="Times New Roman" w:eastAsia="Calibri" w:hAnsi="Times New Roman" w:cs="Times New Roman"/>
          <w:sz w:val="24"/>
          <w:szCs w:val="24"/>
        </w:rPr>
      </w:pPr>
      <w:r w:rsidRPr="008516DC">
        <w:rPr>
          <w:rFonts w:ascii="Times New Roman" w:eastAsia="Calibri" w:hAnsi="Times New Roman" w:cs="Times New Roman"/>
          <w:sz w:val="24"/>
          <w:szCs w:val="24"/>
        </w:rPr>
        <w:t>Öğrenci Odaklı Üniversite</w:t>
      </w:r>
    </w:p>
    <w:p w:rsidR="004533E0" w:rsidRPr="008516DC" w:rsidRDefault="004533E0" w:rsidP="004533E0">
      <w:pPr>
        <w:pStyle w:val="ListeParagraf"/>
        <w:widowControl/>
        <w:numPr>
          <w:ilvl w:val="0"/>
          <w:numId w:val="6"/>
        </w:numPr>
        <w:spacing w:after="160" w:line="259" w:lineRule="auto"/>
        <w:jc w:val="both"/>
        <w:rPr>
          <w:rFonts w:ascii="Times New Roman" w:eastAsia="Calibri" w:hAnsi="Times New Roman" w:cs="Times New Roman"/>
          <w:sz w:val="24"/>
          <w:szCs w:val="24"/>
        </w:rPr>
      </w:pPr>
      <w:r w:rsidRPr="008516DC">
        <w:rPr>
          <w:rFonts w:ascii="Times New Roman" w:eastAsia="Calibri" w:hAnsi="Times New Roman" w:cs="Times New Roman"/>
          <w:sz w:val="24"/>
          <w:szCs w:val="24"/>
        </w:rPr>
        <w:lastRenderedPageBreak/>
        <w:t>Eğitim</w:t>
      </w:r>
    </w:p>
    <w:p w:rsidR="004533E0" w:rsidRPr="008516DC" w:rsidRDefault="004533E0" w:rsidP="004533E0">
      <w:pPr>
        <w:pStyle w:val="ListeParagraf"/>
        <w:widowControl/>
        <w:numPr>
          <w:ilvl w:val="0"/>
          <w:numId w:val="6"/>
        </w:numPr>
        <w:spacing w:after="160" w:line="259" w:lineRule="auto"/>
        <w:jc w:val="both"/>
        <w:rPr>
          <w:rFonts w:ascii="Times New Roman" w:eastAsia="Calibri" w:hAnsi="Times New Roman" w:cs="Times New Roman"/>
          <w:sz w:val="24"/>
          <w:szCs w:val="24"/>
        </w:rPr>
      </w:pPr>
      <w:proofErr w:type="spellStart"/>
      <w:r w:rsidRPr="008516DC">
        <w:rPr>
          <w:rFonts w:ascii="Times New Roman" w:eastAsia="Calibri" w:hAnsi="Times New Roman" w:cs="Times New Roman"/>
          <w:sz w:val="24"/>
          <w:szCs w:val="24"/>
        </w:rPr>
        <w:t>ArGe</w:t>
      </w:r>
      <w:proofErr w:type="spellEnd"/>
      <w:r w:rsidRPr="008516DC">
        <w:rPr>
          <w:rFonts w:ascii="Times New Roman" w:eastAsia="Calibri" w:hAnsi="Times New Roman" w:cs="Times New Roman"/>
          <w:sz w:val="24"/>
          <w:szCs w:val="24"/>
        </w:rPr>
        <w:t xml:space="preserve"> ve </w:t>
      </w:r>
      <w:proofErr w:type="spellStart"/>
      <w:r w:rsidRPr="008516DC">
        <w:rPr>
          <w:rFonts w:ascii="Times New Roman" w:eastAsia="Calibri" w:hAnsi="Times New Roman" w:cs="Times New Roman"/>
          <w:sz w:val="24"/>
          <w:szCs w:val="24"/>
        </w:rPr>
        <w:t>İnovasyon</w:t>
      </w:r>
      <w:proofErr w:type="spellEnd"/>
    </w:p>
    <w:p w:rsidR="004533E0" w:rsidRPr="008516DC" w:rsidRDefault="004533E0" w:rsidP="004533E0">
      <w:pPr>
        <w:pStyle w:val="ListeParagraf"/>
        <w:widowControl/>
        <w:numPr>
          <w:ilvl w:val="0"/>
          <w:numId w:val="6"/>
        </w:numPr>
        <w:spacing w:after="160" w:line="259" w:lineRule="auto"/>
        <w:jc w:val="both"/>
        <w:rPr>
          <w:rFonts w:ascii="Times New Roman" w:eastAsia="Calibri" w:hAnsi="Times New Roman" w:cs="Times New Roman"/>
          <w:sz w:val="24"/>
          <w:szCs w:val="24"/>
        </w:rPr>
      </w:pPr>
      <w:r w:rsidRPr="008516DC">
        <w:rPr>
          <w:rFonts w:ascii="Times New Roman" w:eastAsia="Calibri" w:hAnsi="Times New Roman" w:cs="Times New Roman"/>
          <w:sz w:val="24"/>
          <w:szCs w:val="24"/>
        </w:rPr>
        <w:t>Kurumsal Yönetişim</w:t>
      </w:r>
    </w:p>
    <w:p w:rsidR="004533E0" w:rsidRPr="008516DC" w:rsidRDefault="004533E0" w:rsidP="004533E0">
      <w:pPr>
        <w:pStyle w:val="ListeParagraf"/>
        <w:widowControl/>
        <w:numPr>
          <w:ilvl w:val="0"/>
          <w:numId w:val="6"/>
        </w:numPr>
        <w:spacing w:after="160" w:line="259" w:lineRule="auto"/>
        <w:jc w:val="both"/>
        <w:rPr>
          <w:rFonts w:ascii="Times New Roman" w:eastAsia="Calibri" w:hAnsi="Times New Roman" w:cs="Times New Roman"/>
          <w:sz w:val="24"/>
          <w:szCs w:val="24"/>
        </w:rPr>
      </w:pPr>
      <w:proofErr w:type="spellStart"/>
      <w:r w:rsidRPr="008516DC">
        <w:rPr>
          <w:rFonts w:ascii="Times New Roman" w:eastAsia="Calibri" w:hAnsi="Times New Roman" w:cs="Times New Roman"/>
          <w:sz w:val="24"/>
          <w:szCs w:val="24"/>
        </w:rPr>
        <w:t>Uluslararasılaşma</w:t>
      </w:r>
      <w:proofErr w:type="spellEnd"/>
    </w:p>
    <w:p w:rsidR="004533E0" w:rsidRDefault="004533E0" w:rsidP="004533E0">
      <w:pPr>
        <w:widowControl/>
        <w:spacing w:after="160" w:line="259"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ş</w:t>
      </w:r>
      <w:r w:rsidRPr="008516DC">
        <w:rPr>
          <w:rFonts w:ascii="Times New Roman" w:eastAsia="Calibri" w:hAnsi="Times New Roman" w:cs="Times New Roman"/>
          <w:sz w:val="24"/>
          <w:szCs w:val="24"/>
        </w:rPr>
        <w:t>eklinde</w:t>
      </w:r>
      <w:proofErr w:type="gramEnd"/>
      <w:r>
        <w:rPr>
          <w:rFonts w:ascii="Times New Roman" w:eastAsia="Calibri" w:hAnsi="Times New Roman" w:cs="Times New Roman"/>
          <w:sz w:val="24"/>
          <w:szCs w:val="24"/>
        </w:rPr>
        <w:t xml:space="preserve"> Atılım Üniversitesi için gelecek beş yıl için öncelikli alanlar tespit edilmiştir. Her bir stratejik öncelikli alan ile ilgili stratejik amaç, stratejik hedef ve ilişkili performans göstergeleri ve diğer parametreler tanımlanmıştır. Bu bağlamda 2019 yılı içerisinde; dar ve geniş katılımlı 56 ayrı toplantı,  86,5 saatlik toplantı süresi, 380 katılımcı ve 1013,5 adam/</w:t>
      </w:r>
      <w:proofErr w:type="spellStart"/>
      <w:r>
        <w:rPr>
          <w:rFonts w:ascii="Times New Roman" w:eastAsia="Calibri" w:hAnsi="Times New Roman" w:cs="Times New Roman"/>
          <w:sz w:val="24"/>
          <w:szCs w:val="24"/>
        </w:rPr>
        <w:t>saat’lik</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efor</w:t>
      </w:r>
      <w:proofErr w:type="gramEnd"/>
      <w:r>
        <w:rPr>
          <w:rFonts w:ascii="Times New Roman" w:eastAsia="Calibri" w:hAnsi="Times New Roman" w:cs="Times New Roman"/>
          <w:sz w:val="24"/>
          <w:szCs w:val="24"/>
        </w:rPr>
        <w:t xml:space="preserve"> harcanmıştır.</w:t>
      </w:r>
      <w:r w:rsidR="00D11DF8">
        <w:rPr>
          <w:rFonts w:ascii="Times New Roman" w:eastAsia="Calibri" w:hAnsi="Times New Roman" w:cs="Times New Roman"/>
          <w:sz w:val="24"/>
          <w:szCs w:val="24"/>
        </w:rPr>
        <w:t xml:space="preserve"> Her bir toplantı ile ilgili toplantı tutanakları hazırlanmış</w:t>
      </w:r>
      <w:r w:rsidR="00B357D0">
        <w:rPr>
          <w:rFonts w:ascii="Times New Roman" w:eastAsia="Calibri" w:hAnsi="Times New Roman" w:cs="Times New Roman"/>
          <w:sz w:val="24"/>
          <w:szCs w:val="24"/>
        </w:rPr>
        <w:t>, kurumsal hafızaya kaydedilmiş</w:t>
      </w:r>
      <w:r w:rsidR="00D11DF8">
        <w:rPr>
          <w:rFonts w:ascii="Times New Roman" w:eastAsia="Calibri" w:hAnsi="Times New Roman" w:cs="Times New Roman"/>
          <w:sz w:val="24"/>
          <w:szCs w:val="24"/>
        </w:rPr>
        <w:t xml:space="preserve"> ve katılımcılarla paylaşılmıştır.</w:t>
      </w:r>
    </w:p>
    <w:p w:rsidR="004533E0" w:rsidRDefault="004533E0" w:rsidP="004533E0">
      <w:pPr>
        <w:widowControl/>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Ağustos 2019 tarihinden itibaren; Ağustos </w:t>
      </w:r>
      <w:proofErr w:type="spellStart"/>
      <w:r>
        <w:rPr>
          <w:rFonts w:ascii="Times New Roman" w:eastAsia="Calibri" w:hAnsi="Times New Roman" w:cs="Times New Roman"/>
          <w:sz w:val="24"/>
          <w:szCs w:val="24"/>
        </w:rPr>
        <w:t>ay’ında</w:t>
      </w:r>
      <w:proofErr w:type="spellEnd"/>
      <w:r>
        <w:rPr>
          <w:rFonts w:ascii="Times New Roman" w:eastAsia="Calibri" w:hAnsi="Times New Roman" w:cs="Times New Roman"/>
          <w:sz w:val="24"/>
          <w:szCs w:val="24"/>
        </w:rPr>
        <w:t xml:space="preserve"> 1 adet toplantı, Eylül </w:t>
      </w:r>
      <w:proofErr w:type="spellStart"/>
      <w:r>
        <w:rPr>
          <w:rFonts w:ascii="Times New Roman" w:eastAsia="Calibri" w:hAnsi="Times New Roman" w:cs="Times New Roman"/>
          <w:sz w:val="24"/>
          <w:szCs w:val="24"/>
        </w:rPr>
        <w:t>ay’ında</w:t>
      </w:r>
      <w:proofErr w:type="spellEnd"/>
      <w:r>
        <w:rPr>
          <w:rFonts w:ascii="Times New Roman" w:eastAsia="Calibri" w:hAnsi="Times New Roman" w:cs="Times New Roman"/>
          <w:sz w:val="24"/>
          <w:szCs w:val="24"/>
        </w:rPr>
        <w:t xml:space="preserve"> 4 adet toplantı, Ekim </w:t>
      </w:r>
      <w:proofErr w:type="spellStart"/>
      <w:r>
        <w:rPr>
          <w:rFonts w:ascii="Times New Roman" w:eastAsia="Calibri" w:hAnsi="Times New Roman" w:cs="Times New Roman"/>
          <w:sz w:val="24"/>
          <w:szCs w:val="24"/>
        </w:rPr>
        <w:t>ay’ında</w:t>
      </w:r>
      <w:proofErr w:type="spellEnd"/>
      <w:r>
        <w:rPr>
          <w:rFonts w:ascii="Times New Roman" w:eastAsia="Calibri" w:hAnsi="Times New Roman" w:cs="Times New Roman"/>
          <w:sz w:val="24"/>
          <w:szCs w:val="24"/>
        </w:rPr>
        <w:t xml:space="preserve"> 17 adet toplantı, Kasım </w:t>
      </w:r>
      <w:proofErr w:type="spellStart"/>
      <w:r>
        <w:rPr>
          <w:rFonts w:ascii="Times New Roman" w:eastAsia="Calibri" w:hAnsi="Times New Roman" w:cs="Times New Roman"/>
          <w:sz w:val="24"/>
          <w:szCs w:val="24"/>
        </w:rPr>
        <w:t>ay’ında</w:t>
      </w:r>
      <w:proofErr w:type="spellEnd"/>
      <w:r>
        <w:rPr>
          <w:rFonts w:ascii="Times New Roman" w:eastAsia="Calibri" w:hAnsi="Times New Roman" w:cs="Times New Roman"/>
          <w:sz w:val="24"/>
          <w:szCs w:val="24"/>
        </w:rPr>
        <w:t xml:space="preserve"> 13 adet toplantı ve Aralık </w:t>
      </w:r>
      <w:proofErr w:type="spellStart"/>
      <w:r>
        <w:rPr>
          <w:rFonts w:ascii="Times New Roman" w:eastAsia="Calibri" w:hAnsi="Times New Roman" w:cs="Times New Roman"/>
          <w:sz w:val="24"/>
          <w:szCs w:val="24"/>
        </w:rPr>
        <w:t>ay’ında</w:t>
      </w:r>
      <w:proofErr w:type="spellEnd"/>
      <w:r>
        <w:rPr>
          <w:rFonts w:ascii="Times New Roman" w:eastAsia="Calibri" w:hAnsi="Times New Roman" w:cs="Times New Roman"/>
          <w:sz w:val="24"/>
          <w:szCs w:val="24"/>
        </w:rPr>
        <w:t xml:space="preserve"> 21 adet toplantı olmak üzere ilgili toplantıların aylık dağılımları ifade edilebilmektedir.</w:t>
      </w:r>
      <w:r w:rsidR="00B875BE">
        <w:rPr>
          <w:rFonts w:ascii="Times New Roman" w:eastAsia="Calibri" w:hAnsi="Times New Roman" w:cs="Times New Roman"/>
          <w:sz w:val="24"/>
          <w:szCs w:val="24"/>
        </w:rPr>
        <w:t xml:space="preserve"> Çalışmaların takibi periyodik olarak üretilmekte olan; </w:t>
      </w:r>
      <w:r w:rsidR="00B875BE" w:rsidRPr="00B875BE">
        <w:rPr>
          <w:rFonts w:ascii="Times New Roman" w:eastAsia="Calibri" w:hAnsi="Times New Roman" w:cs="Times New Roman"/>
          <w:sz w:val="24"/>
          <w:szCs w:val="24"/>
        </w:rPr>
        <w:t>KurumsalGelisimPlanlamaKoordinatorlugu_AylikProgramStatuTakibi_30112019</w:t>
      </w:r>
      <w:r w:rsidR="00B875BE">
        <w:rPr>
          <w:rFonts w:ascii="Times New Roman" w:eastAsia="Calibri" w:hAnsi="Times New Roman" w:cs="Times New Roman"/>
          <w:sz w:val="24"/>
          <w:szCs w:val="24"/>
        </w:rPr>
        <w:t>.pdf örneğinde olduğu gibi takip edilebilmektedir.</w:t>
      </w:r>
    </w:p>
    <w:p w:rsidR="004533E0" w:rsidRDefault="004533E0" w:rsidP="004533E0">
      <w:pPr>
        <w:pStyle w:val="NormalWeb"/>
        <w:shd w:val="clear" w:color="auto" w:fill="FFFFFF"/>
        <w:spacing w:after="160" w:line="259" w:lineRule="auto"/>
        <w:jc w:val="both"/>
        <w:rPr>
          <w:rFonts w:eastAsia="Times New Roman"/>
          <w:lang w:val="tr-TR"/>
        </w:rPr>
      </w:pPr>
      <w:proofErr w:type="spellStart"/>
      <w:r>
        <w:rPr>
          <w:rFonts w:eastAsia="Calibri"/>
        </w:rPr>
        <w:t>Yürütülen</w:t>
      </w:r>
      <w:proofErr w:type="spellEnd"/>
      <w:r>
        <w:rPr>
          <w:rFonts w:eastAsia="Calibri"/>
        </w:rPr>
        <w:t xml:space="preserve"> </w:t>
      </w:r>
      <w:proofErr w:type="spellStart"/>
      <w:r>
        <w:rPr>
          <w:rFonts w:eastAsia="Calibri"/>
        </w:rPr>
        <w:t>bu</w:t>
      </w:r>
      <w:proofErr w:type="spellEnd"/>
      <w:r>
        <w:rPr>
          <w:rFonts w:eastAsia="Calibri"/>
        </w:rPr>
        <w:t xml:space="preserve"> </w:t>
      </w:r>
      <w:proofErr w:type="spellStart"/>
      <w:r>
        <w:rPr>
          <w:rFonts w:eastAsia="Calibri"/>
        </w:rPr>
        <w:t>çalışma</w:t>
      </w:r>
      <w:proofErr w:type="spellEnd"/>
      <w:r>
        <w:rPr>
          <w:rFonts w:eastAsia="Calibri"/>
        </w:rPr>
        <w:t xml:space="preserve"> </w:t>
      </w:r>
      <w:proofErr w:type="spellStart"/>
      <w:r>
        <w:rPr>
          <w:rFonts w:eastAsia="Calibri"/>
        </w:rPr>
        <w:t>süreci</w:t>
      </w:r>
      <w:proofErr w:type="spellEnd"/>
      <w:r>
        <w:rPr>
          <w:rFonts w:eastAsia="Calibri"/>
        </w:rPr>
        <w:t xml:space="preserve"> </w:t>
      </w:r>
      <w:proofErr w:type="spellStart"/>
      <w:r>
        <w:rPr>
          <w:rFonts w:eastAsia="Calibri"/>
        </w:rPr>
        <w:t>neticesinde</w:t>
      </w:r>
      <w:proofErr w:type="spellEnd"/>
      <w:r>
        <w:rPr>
          <w:rFonts w:eastAsia="Calibri"/>
        </w:rPr>
        <w:t xml:space="preserve">; 2020 </w:t>
      </w:r>
      <w:proofErr w:type="spellStart"/>
      <w:r>
        <w:rPr>
          <w:rFonts w:eastAsia="Calibri"/>
        </w:rPr>
        <w:t>yılı</w:t>
      </w:r>
      <w:proofErr w:type="spellEnd"/>
      <w:r>
        <w:rPr>
          <w:rFonts w:eastAsia="Calibri"/>
        </w:rPr>
        <w:t xml:space="preserve"> ilk </w:t>
      </w:r>
      <w:proofErr w:type="spellStart"/>
      <w:r>
        <w:rPr>
          <w:rFonts w:eastAsia="Calibri"/>
        </w:rPr>
        <w:t>çeyreğinde</w:t>
      </w:r>
      <w:proofErr w:type="spellEnd"/>
      <w:r>
        <w:rPr>
          <w:rFonts w:eastAsia="Calibri"/>
        </w:rPr>
        <w:t xml:space="preserve">, </w:t>
      </w:r>
      <w:proofErr w:type="spellStart"/>
      <w:r>
        <w:rPr>
          <w:rFonts w:eastAsia="Calibri"/>
        </w:rPr>
        <w:t>bahse</w:t>
      </w:r>
      <w:proofErr w:type="spellEnd"/>
      <w:r>
        <w:rPr>
          <w:rFonts w:eastAsia="Calibri"/>
        </w:rPr>
        <w:t xml:space="preserve"> </w:t>
      </w:r>
      <w:proofErr w:type="spellStart"/>
      <w:r>
        <w:rPr>
          <w:rFonts w:eastAsia="Calibri"/>
        </w:rPr>
        <w:t>konu</w:t>
      </w:r>
      <w:proofErr w:type="spellEnd"/>
      <w:r>
        <w:rPr>
          <w:rFonts w:eastAsia="Calibri"/>
        </w:rPr>
        <w:t xml:space="preserve"> </w:t>
      </w:r>
      <w:proofErr w:type="spellStart"/>
      <w:r>
        <w:rPr>
          <w:rFonts w:eastAsia="Calibri"/>
        </w:rPr>
        <w:t>stratejik</w:t>
      </w:r>
      <w:proofErr w:type="spellEnd"/>
      <w:r>
        <w:rPr>
          <w:rFonts w:eastAsia="Calibri"/>
        </w:rPr>
        <w:t xml:space="preserve"> plan </w:t>
      </w:r>
      <w:proofErr w:type="spellStart"/>
      <w:r>
        <w:rPr>
          <w:rFonts w:eastAsia="Calibri"/>
        </w:rPr>
        <w:t>faaliyetlerinin</w:t>
      </w:r>
      <w:proofErr w:type="spellEnd"/>
      <w:r>
        <w:rPr>
          <w:rFonts w:eastAsia="Calibri"/>
        </w:rPr>
        <w:t xml:space="preserve"> </w:t>
      </w:r>
      <w:proofErr w:type="spellStart"/>
      <w:r>
        <w:rPr>
          <w:rFonts w:eastAsia="Calibri"/>
        </w:rPr>
        <w:t>onay</w:t>
      </w:r>
      <w:proofErr w:type="spellEnd"/>
      <w:r>
        <w:rPr>
          <w:rFonts w:eastAsia="Calibri"/>
        </w:rPr>
        <w:t xml:space="preserve"> </w:t>
      </w:r>
      <w:proofErr w:type="spellStart"/>
      <w:r>
        <w:rPr>
          <w:rFonts w:eastAsia="Calibri"/>
        </w:rPr>
        <w:t>mekanizmalarının</w:t>
      </w:r>
      <w:proofErr w:type="spellEnd"/>
      <w:r>
        <w:rPr>
          <w:rFonts w:eastAsia="Calibri"/>
        </w:rPr>
        <w:t xml:space="preserve"> </w:t>
      </w:r>
      <w:proofErr w:type="spellStart"/>
      <w:r>
        <w:rPr>
          <w:rFonts w:eastAsia="Calibri"/>
        </w:rPr>
        <w:t>tamamıyla</w:t>
      </w:r>
      <w:proofErr w:type="spellEnd"/>
      <w:r>
        <w:rPr>
          <w:rFonts w:eastAsia="Calibri"/>
        </w:rPr>
        <w:t xml:space="preserve"> </w:t>
      </w:r>
      <w:proofErr w:type="spellStart"/>
      <w:r>
        <w:rPr>
          <w:rFonts w:eastAsia="Calibri"/>
        </w:rPr>
        <w:t>neticelendirileceği</w:t>
      </w:r>
      <w:proofErr w:type="spellEnd"/>
      <w:r>
        <w:rPr>
          <w:rFonts w:eastAsia="Calibri"/>
        </w:rPr>
        <w:t xml:space="preserve"> </w:t>
      </w:r>
      <w:proofErr w:type="spellStart"/>
      <w:r>
        <w:rPr>
          <w:rFonts w:eastAsia="Calibri"/>
        </w:rPr>
        <w:t>ve</w:t>
      </w:r>
      <w:proofErr w:type="spellEnd"/>
      <w:r>
        <w:rPr>
          <w:rFonts w:eastAsia="Calibri"/>
        </w:rPr>
        <w:t xml:space="preserve"> </w:t>
      </w:r>
      <w:proofErr w:type="spellStart"/>
      <w:r>
        <w:rPr>
          <w:rFonts w:eastAsia="Calibri"/>
        </w:rPr>
        <w:t>Performans</w:t>
      </w:r>
      <w:proofErr w:type="spellEnd"/>
      <w:r>
        <w:rPr>
          <w:rFonts w:eastAsia="Calibri"/>
        </w:rPr>
        <w:t xml:space="preserve"> </w:t>
      </w:r>
      <w:proofErr w:type="spellStart"/>
      <w:r>
        <w:rPr>
          <w:rFonts w:eastAsia="Calibri"/>
        </w:rPr>
        <w:t>Yönetim</w:t>
      </w:r>
      <w:proofErr w:type="spellEnd"/>
      <w:r>
        <w:rPr>
          <w:rFonts w:eastAsia="Calibri"/>
        </w:rPr>
        <w:t xml:space="preserve"> </w:t>
      </w:r>
      <w:proofErr w:type="spellStart"/>
      <w:r>
        <w:rPr>
          <w:rFonts w:eastAsia="Calibri"/>
        </w:rPr>
        <w:t>Sistemi</w:t>
      </w:r>
      <w:proofErr w:type="spellEnd"/>
      <w:r>
        <w:rPr>
          <w:rFonts w:eastAsia="Calibri"/>
        </w:rPr>
        <w:t xml:space="preserve"> – PYS </w:t>
      </w:r>
      <w:proofErr w:type="spellStart"/>
      <w:r>
        <w:rPr>
          <w:rFonts w:eastAsia="Calibri"/>
        </w:rPr>
        <w:t>ile</w:t>
      </w:r>
      <w:proofErr w:type="spellEnd"/>
      <w:r>
        <w:rPr>
          <w:rFonts w:eastAsia="Calibri"/>
        </w:rPr>
        <w:t xml:space="preserve"> </w:t>
      </w:r>
      <w:proofErr w:type="spellStart"/>
      <w:r>
        <w:rPr>
          <w:rFonts w:eastAsia="Calibri"/>
        </w:rPr>
        <w:t>entegre</w:t>
      </w:r>
      <w:proofErr w:type="spellEnd"/>
      <w:r>
        <w:rPr>
          <w:rFonts w:eastAsia="Calibri"/>
        </w:rPr>
        <w:t xml:space="preserve"> </w:t>
      </w:r>
      <w:proofErr w:type="spellStart"/>
      <w:r>
        <w:rPr>
          <w:rFonts w:eastAsia="Calibri"/>
        </w:rPr>
        <w:t>edilmesi</w:t>
      </w:r>
      <w:proofErr w:type="spellEnd"/>
      <w:r>
        <w:rPr>
          <w:rFonts w:eastAsia="Calibri"/>
        </w:rPr>
        <w:t xml:space="preserve"> </w:t>
      </w:r>
      <w:proofErr w:type="spellStart"/>
      <w:r>
        <w:rPr>
          <w:rFonts w:eastAsia="Calibri"/>
        </w:rPr>
        <w:t>hedeflenmektedir</w:t>
      </w:r>
      <w:proofErr w:type="spellEnd"/>
      <w:r>
        <w:rPr>
          <w:rFonts w:eastAsia="Calibri"/>
        </w:rPr>
        <w:t xml:space="preserve">.  </w:t>
      </w:r>
      <w:r>
        <w:rPr>
          <w:rFonts w:ascii="Arial" w:eastAsia="Calibri" w:hAnsi="Arial" w:cs="Arial"/>
          <w:sz w:val="26"/>
          <w:szCs w:val="26"/>
        </w:rPr>
        <w:t xml:space="preserve"> </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Atılım Üniversitesi kalite politikası “tüm faaliyetlerimizde sürekli gelişim ilkesi ve toplam kalite yönetimi yaklaşımıyla paydaşlarımızın memnuniyetini sağlamak” şeklindedir.</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Kalite yönetiminde </w:t>
      </w:r>
      <w:r w:rsidRPr="00952A93">
        <w:rPr>
          <w:rFonts w:eastAsia="Times New Roman"/>
          <w:lang w:val="tr-TR"/>
        </w:rPr>
        <w:t>EFQ</w:t>
      </w:r>
      <w:r w:rsidR="009918F6" w:rsidRPr="00952A93">
        <w:rPr>
          <w:rFonts w:eastAsia="Times New Roman"/>
          <w:lang w:val="tr-TR"/>
        </w:rPr>
        <w:t>M</w:t>
      </w:r>
      <w:r w:rsidRPr="009F02FA">
        <w:rPr>
          <w:rFonts w:eastAsia="Times New Roman"/>
          <w:lang w:val="tr-TR"/>
        </w:rPr>
        <w:t xml:space="preserve"> mükemmellik modelinin benimsenmiş olması nedeniyle tüm faaliyetlerimizde sürekli iyileştirme, sürekli gelişme ve toplam kalite yönetimi yaklaşımına temel dayanak sağlamaktadır.</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Stratejik Yönetim yaklaşımı, kalite yönetim sisteminin bir parçasıdır. Stratejik Yönetim süreç döngüsü ile başlayan kalite yönetimi, plan girdilerini bu süreçten almaktadır. Stratejik planlamada, stratejik amaçlara ulaşabilmek için belirlenmiş olan stratejik performans hedefleri, aynı zamanda Ü</w:t>
      </w:r>
      <w:r>
        <w:rPr>
          <w:rFonts w:eastAsia="Times New Roman"/>
          <w:lang w:val="tr-TR"/>
        </w:rPr>
        <w:t>niversitenin kalite hedeflerini de oluşturmaktadır</w:t>
      </w:r>
      <w:r w:rsidRPr="009F02FA">
        <w:rPr>
          <w:rFonts w:eastAsia="Times New Roman"/>
          <w:lang w:val="tr-TR"/>
        </w:rPr>
        <w:t>. Bağlantılı olarak kalite hedefleri, ilgi birimin iş süreçlerinin de performans göstergesi haline gelmektedir.</w:t>
      </w:r>
      <w:r>
        <w:rPr>
          <w:rFonts w:eastAsia="Times New Roman"/>
          <w:lang w:val="tr-TR"/>
        </w:rPr>
        <w:t xml:space="preserve"> Dolayısıyla; Stratejik plan, kalite güvencesi yönetimi ve performans yönetim sistemi ile </w:t>
      </w:r>
      <w:proofErr w:type="gramStart"/>
      <w:r>
        <w:rPr>
          <w:rFonts w:eastAsia="Times New Roman"/>
          <w:lang w:val="tr-TR"/>
        </w:rPr>
        <w:t>entegre</w:t>
      </w:r>
      <w:proofErr w:type="gramEnd"/>
      <w:r>
        <w:rPr>
          <w:rFonts w:eastAsia="Times New Roman"/>
          <w:lang w:val="tr-TR"/>
        </w:rPr>
        <w:t xml:space="preserve"> bir şekilde çalıştırılan bir mekanizma bulunmaktadır.</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Stratejik planın gerçekleşme düzeyi, stratejik amaçlara ne kadar ulaşıldığı ve stratejik performans hedeflerinin ne kadar gerçekleştirilebildiği dair temel takip, ölçüm, iyileştirme ve güncelleme mekaniği 2017 yılında uygulamaya alınan Performans Yönetim Sistemidir. (PYS) </w:t>
      </w:r>
    </w:p>
    <w:p w:rsidR="004533E0" w:rsidRPr="009F02FA" w:rsidRDefault="004533E0" w:rsidP="004533E0">
      <w:pPr>
        <w:pStyle w:val="NormalWeb"/>
        <w:shd w:val="clear" w:color="auto" w:fill="FFFFFF"/>
        <w:spacing w:after="160" w:line="259" w:lineRule="auto"/>
        <w:jc w:val="both"/>
        <w:rPr>
          <w:rFonts w:eastAsia="Times New Roman"/>
          <w:lang w:val="tr-TR"/>
        </w:rPr>
      </w:pPr>
      <w:r w:rsidRPr="009F02FA">
        <w:rPr>
          <w:rFonts w:eastAsia="Times New Roman"/>
          <w:lang w:val="tr-TR"/>
        </w:rPr>
        <w:t xml:space="preserve">PYS üzerinden akademik ve idari yöneticilere performans göstergelerinin tanımlanması, ilgili tüm yönetici ve çalışanlara atanması, izlenmesi, değerlendirilmesini güvence altına almaktadır. Göstergeler eğitim, araştırma, topluma hizmet görevlerine ilişkin alanları kapsamanın yanında yöneticilerin örgütsel sorumlulukları içerisinde yer alan operasyon ve yönetsel süreçlerden de türetilmektedir. Form1, Form2 ve Form3 kapsamı olarak tanımlanan seviyelerdeki tüm çalışanlara PYS kapsamında hedef ataması yapılmakta ve değerlendirme görüşmeleri </w:t>
      </w:r>
      <w:r w:rsidRPr="009F02FA">
        <w:rPr>
          <w:rFonts w:eastAsia="Times New Roman"/>
          <w:lang w:val="tr-TR"/>
        </w:rPr>
        <w:lastRenderedPageBreak/>
        <w:t>gerçekleştirilmektedir.</w:t>
      </w:r>
      <w:r w:rsidR="00631035">
        <w:rPr>
          <w:rFonts w:eastAsia="Times New Roman"/>
          <w:lang w:val="tr-TR"/>
        </w:rPr>
        <w:t xml:space="preserve"> Konuya ilişkin kullanımda olan formlar kanıt olarak sunulmuştur. </w:t>
      </w:r>
      <w:r w:rsidR="00631035" w:rsidRPr="00C45601">
        <w:rPr>
          <w:rFonts w:eastAsia="Times New Roman"/>
          <w:lang w:val="tr-TR"/>
        </w:rPr>
        <w:t>[A.1.3_Formlar (form1_form2_form3).</w:t>
      </w:r>
      <w:proofErr w:type="spellStart"/>
      <w:r w:rsidR="00631035" w:rsidRPr="00C45601">
        <w:rPr>
          <w:rFonts w:eastAsia="Times New Roman"/>
          <w:lang w:val="tr-TR"/>
        </w:rPr>
        <w:t>rar</w:t>
      </w:r>
      <w:proofErr w:type="spellEnd"/>
      <w:r w:rsidR="00631035" w:rsidRPr="00C45601">
        <w:rPr>
          <w:rFonts w:eastAsia="Times New Roman"/>
          <w:lang w:val="tr-TR"/>
        </w:rPr>
        <w:t>]</w:t>
      </w:r>
    </w:p>
    <w:p w:rsidR="004533E0" w:rsidRPr="009F02FA" w:rsidRDefault="004533E0" w:rsidP="004533E0">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PYS kapsamında yer alan süreç performans göstergelerinin dışında kalan stratejik planın temel performans göstergeleri anahtar performans göstergeleri olarak tanımlanmıştır.</w:t>
      </w:r>
    </w:p>
    <w:p w:rsidR="004533E0" w:rsidRDefault="004533E0" w:rsidP="004533E0">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PYS bünyesinde somutlaştırılan ölçüt ve hedefler Atılım Hedef Kütüphanesi olarak kullanılmakta, saklanmakta ve geliştirilmektedir. PYS sonuçları stratejik yönetim sürecine girdi olarak her değerlendirme süreci sonunda(her yıl temmuz ayında) döngüye dâhil edilmektedir. Atılım Üniversitesi stratejik yönetim süreci yaklaşımın etkinliğini de kapsayan gözden geçirmeler ve iyileştirmelerle planla-uygula-kontrol et-önlem al çevrimi tamamlanmaktadır.</w:t>
      </w:r>
      <w:r>
        <w:rPr>
          <w:rFonts w:ascii="Times New Roman" w:eastAsia="Calibri" w:hAnsi="Times New Roman" w:cs="Times New Roman"/>
          <w:sz w:val="24"/>
        </w:rPr>
        <w:t xml:space="preserve"> Yukarıda sunulduğu üzere 2020-2024 dönemi stratejik planı; henüz neticelendirilmemekle birlikte, ilgili stratejik öncelikli alanlar ve buna bağlı stratejik amaç, stratejik hedef, performans göstergeleri ve bağlı parametreler ilgili komisyonlarda değerlendirilmiş ve 2020 yılı ilk çeyreğinde onay mekanizmaları tamamlanarak hayata geçirilmesi planlanmıştır.</w:t>
      </w:r>
    </w:p>
    <w:p w:rsidR="004533E0" w:rsidRPr="009F02FA" w:rsidRDefault="004533E0" w:rsidP="004533E0">
      <w:pPr>
        <w:widowControl/>
        <w:spacing w:after="160" w:line="259" w:lineRule="auto"/>
        <w:jc w:val="both"/>
        <w:rPr>
          <w:rFonts w:ascii="Times New Roman" w:eastAsia="Calibri" w:hAnsi="Times New Roman" w:cs="Times New Roman"/>
          <w:sz w:val="24"/>
        </w:rPr>
      </w:pPr>
      <w:r>
        <w:rPr>
          <w:rFonts w:ascii="Times New Roman" w:eastAsia="Calibri" w:hAnsi="Times New Roman" w:cs="Times New Roman"/>
          <w:sz w:val="24"/>
        </w:rPr>
        <w:t xml:space="preserve">2019 yılı içinde </w:t>
      </w:r>
      <w:r w:rsidRPr="006C7C29">
        <w:rPr>
          <w:rFonts w:ascii="Times New Roman" w:eastAsia="Calibri" w:hAnsi="Times New Roman" w:cs="Times New Roman"/>
          <w:sz w:val="24"/>
        </w:rPr>
        <w:t>Üniversite birimlerinin örgütlenme ve işleyişlerini tanımlamak ve düzenlemek amacıyla her birim tarafından Temel Prosedürler ve Bağlı İşl</w:t>
      </w:r>
      <w:r>
        <w:rPr>
          <w:rFonts w:ascii="Times New Roman" w:eastAsia="Calibri" w:hAnsi="Times New Roman" w:cs="Times New Roman"/>
          <w:sz w:val="24"/>
        </w:rPr>
        <w:t>emler başlığı altında çalışmalara devam edilmiştir.</w:t>
      </w:r>
      <w:r w:rsidRPr="006C7C29">
        <w:rPr>
          <w:rFonts w:ascii="Times New Roman" w:eastAsia="Calibri" w:hAnsi="Times New Roman" w:cs="Times New Roman"/>
          <w:sz w:val="24"/>
        </w:rPr>
        <w:t xml:space="preserve"> Temel </w:t>
      </w:r>
      <w:r w:rsidR="001E1938">
        <w:rPr>
          <w:rFonts w:ascii="Times New Roman" w:eastAsia="Calibri" w:hAnsi="Times New Roman" w:cs="Times New Roman"/>
          <w:sz w:val="24"/>
        </w:rPr>
        <w:t>faaliyetler</w:t>
      </w:r>
      <w:r w:rsidRPr="006C7C29">
        <w:rPr>
          <w:rFonts w:ascii="Times New Roman" w:eastAsia="Calibri" w:hAnsi="Times New Roman" w:cs="Times New Roman"/>
          <w:sz w:val="24"/>
        </w:rPr>
        <w:t xml:space="preserve"> ve bağlı işlemlerle ilgili süreç yö</w:t>
      </w:r>
      <w:r>
        <w:rPr>
          <w:rFonts w:ascii="Times New Roman" w:eastAsia="Calibri" w:hAnsi="Times New Roman" w:cs="Times New Roman"/>
          <w:sz w:val="24"/>
        </w:rPr>
        <w:t>netimi el kitapları hazırlanmış, gözden geçirilmiş, sürekli iyileştirme yaklaşımı çerçevesinde güncellemeleri devam etmektedir.</w:t>
      </w:r>
      <w:r w:rsidR="00FD7A32">
        <w:rPr>
          <w:rFonts w:ascii="Times New Roman" w:eastAsia="Calibri" w:hAnsi="Times New Roman" w:cs="Times New Roman"/>
          <w:sz w:val="24"/>
        </w:rPr>
        <w:t xml:space="preserve"> </w:t>
      </w:r>
      <w:r w:rsidR="00FD1523" w:rsidRPr="00C45601">
        <w:rPr>
          <w:rFonts w:ascii="Times New Roman" w:eastAsia="Calibri" w:hAnsi="Times New Roman" w:cs="Times New Roman"/>
          <w:sz w:val="24"/>
        </w:rPr>
        <w:t>[</w:t>
      </w:r>
      <w:r w:rsidR="001F62AF" w:rsidRPr="00C45601">
        <w:rPr>
          <w:rFonts w:ascii="Times New Roman" w:eastAsia="Calibri" w:hAnsi="Times New Roman" w:cs="Times New Roman"/>
          <w:sz w:val="24"/>
        </w:rPr>
        <w:t>A.1.2.1_</w:t>
      </w:r>
      <w:proofErr w:type="gramStart"/>
      <w:r w:rsidR="001F62AF" w:rsidRPr="00C45601">
        <w:rPr>
          <w:rFonts w:ascii="Times New Roman" w:eastAsia="Calibri" w:hAnsi="Times New Roman" w:cs="Times New Roman"/>
          <w:sz w:val="24"/>
        </w:rPr>
        <w:t>SüreçYonetimiElKitabı</w:t>
      </w:r>
      <w:r w:rsidR="00FD1523" w:rsidRPr="00C45601">
        <w:rPr>
          <w:rFonts w:ascii="Times New Roman" w:eastAsia="Calibri" w:hAnsi="Times New Roman" w:cs="Times New Roman"/>
          <w:sz w:val="24"/>
        </w:rPr>
        <w:t>.docx</w:t>
      </w:r>
      <w:proofErr w:type="gramEnd"/>
      <w:r w:rsidR="00FD1523" w:rsidRPr="00C45601">
        <w:rPr>
          <w:rFonts w:ascii="Times New Roman" w:eastAsia="Calibri" w:hAnsi="Times New Roman" w:cs="Times New Roman"/>
          <w:sz w:val="24"/>
        </w:rPr>
        <w:t xml:space="preserve">] </w:t>
      </w:r>
      <w:r w:rsidRPr="00C45601">
        <w:rPr>
          <w:rFonts w:ascii="Times New Roman" w:eastAsia="Calibri" w:hAnsi="Times New Roman" w:cs="Times New Roman"/>
          <w:sz w:val="24"/>
        </w:rPr>
        <w:t>İlgili</w:t>
      </w:r>
      <w:r>
        <w:rPr>
          <w:rFonts w:ascii="Times New Roman" w:eastAsia="Calibri" w:hAnsi="Times New Roman" w:cs="Times New Roman"/>
          <w:sz w:val="24"/>
        </w:rPr>
        <w:t xml:space="preserve"> veriler </w:t>
      </w:r>
      <w:r w:rsidRPr="000349FE">
        <w:rPr>
          <w:rFonts w:ascii="Times New Roman" w:eastAsia="Calibri" w:hAnsi="Times New Roman" w:cs="Times New Roman"/>
          <w:sz w:val="24"/>
        </w:rPr>
        <w:t xml:space="preserve">05.02.2019 Gün ve 02 Sayılı Senato Kararı </w:t>
      </w:r>
      <w:r>
        <w:rPr>
          <w:rFonts w:ascii="Times New Roman" w:eastAsia="Calibri" w:hAnsi="Times New Roman" w:cs="Times New Roman"/>
          <w:sz w:val="24"/>
        </w:rPr>
        <w:t xml:space="preserve">ile Elektronik Belge Yönetim Sistemi (EBYS) üzerinden tüm birimlerle paylaşılmıştır. Ayrıca; onay mekanizmaları devam etmekte olan 2020 – 2024 Stratejik Plan çalışmaları içerisinde; “İş Süreçlerinin Yeniden Yapılandırılması Projesi” olarak </w:t>
      </w:r>
      <w:proofErr w:type="gramStart"/>
      <w:r>
        <w:rPr>
          <w:rFonts w:ascii="Times New Roman" w:eastAsia="Calibri" w:hAnsi="Times New Roman" w:cs="Times New Roman"/>
          <w:sz w:val="24"/>
        </w:rPr>
        <w:t>spesifik</w:t>
      </w:r>
      <w:proofErr w:type="gramEnd"/>
      <w:r>
        <w:rPr>
          <w:rFonts w:ascii="Times New Roman" w:eastAsia="Calibri" w:hAnsi="Times New Roman" w:cs="Times New Roman"/>
          <w:sz w:val="24"/>
        </w:rPr>
        <w:t xml:space="preserve"> bir hedef ile çalışmaların yaşayan hale getirilmesi ve sürekli iyileştirme prensibine uygun olarak sürdürülmesi planlanmıştır.</w:t>
      </w:r>
    </w:p>
    <w:p w:rsidR="004533E0" w:rsidRPr="009F02FA" w:rsidRDefault="004533E0" w:rsidP="004533E0">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Üniversitenin ismi ile özdeşleşmiş gelişim ve öncülük niteliği ile paydaşların istek ve beklentileri doğrultusunda sürekli gelişim arzusu</w:t>
      </w:r>
      <w:r w:rsidR="00A148B4">
        <w:rPr>
          <w:rFonts w:ascii="Times New Roman" w:eastAsia="Calibri" w:hAnsi="Times New Roman" w:cs="Times New Roman"/>
          <w:sz w:val="24"/>
        </w:rPr>
        <w:t xml:space="preserve">nun önemli bir </w:t>
      </w:r>
      <w:proofErr w:type="spellStart"/>
      <w:r w:rsidR="00A148B4">
        <w:rPr>
          <w:rFonts w:ascii="Times New Roman" w:eastAsia="Calibri" w:hAnsi="Times New Roman" w:cs="Times New Roman"/>
          <w:sz w:val="24"/>
        </w:rPr>
        <w:t>organizasyonel</w:t>
      </w:r>
      <w:proofErr w:type="spellEnd"/>
      <w:r w:rsidR="00A148B4">
        <w:rPr>
          <w:rFonts w:ascii="Times New Roman" w:eastAsia="Calibri" w:hAnsi="Times New Roman" w:cs="Times New Roman"/>
          <w:sz w:val="24"/>
        </w:rPr>
        <w:t xml:space="preserve"> kanıtı olarak; Rektörlük makamına doğrudan bağlı “Kurumsal Gelişim ve Planlama Koordinatörlüğü” şeklinde müstakil bir </w:t>
      </w:r>
      <w:proofErr w:type="gramStart"/>
      <w:r w:rsidR="00A148B4">
        <w:rPr>
          <w:rFonts w:ascii="Times New Roman" w:eastAsia="Calibri" w:hAnsi="Times New Roman" w:cs="Times New Roman"/>
          <w:sz w:val="24"/>
        </w:rPr>
        <w:t>departman</w:t>
      </w:r>
      <w:proofErr w:type="gramEnd"/>
      <w:r w:rsidR="00A148B4">
        <w:rPr>
          <w:rFonts w:ascii="Times New Roman" w:eastAsia="Calibri" w:hAnsi="Times New Roman" w:cs="Times New Roman"/>
          <w:sz w:val="24"/>
        </w:rPr>
        <w:t xml:space="preserve"> kurulmuştur.</w:t>
      </w:r>
      <w:r w:rsidRPr="009F02FA">
        <w:rPr>
          <w:rFonts w:ascii="Times New Roman" w:eastAsia="Calibri" w:hAnsi="Times New Roman" w:cs="Times New Roman"/>
          <w:sz w:val="24"/>
        </w:rPr>
        <w:t xml:space="preserve"> </w:t>
      </w:r>
      <w:r w:rsidR="00A148B4">
        <w:rPr>
          <w:rFonts w:ascii="Times New Roman" w:eastAsia="Calibri" w:hAnsi="Times New Roman" w:cs="Times New Roman"/>
          <w:sz w:val="24"/>
        </w:rPr>
        <w:t>K</w:t>
      </w:r>
      <w:r w:rsidRPr="009F02FA">
        <w:rPr>
          <w:rFonts w:ascii="Times New Roman" w:eastAsia="Calibri" w:hAnsi="Times New Roman" w:cs="Times New Roman"/>
          <w:sz w:val="24"/>
        </w:rPr>
        <w:t>alite güvence sistemi, mükemmellik hedefleri ile bütünleştirilmeye çalışılmaktadır. Bu bağlamda oluşturulan olumlu iklimin bir kültüre dönüşmesini sağlamak üzere kalite güvence sistemini sürekli geliştirme çalışmaları ve toplam kalite yaklaşımı, geçmiş ile geleceğin bütünleştirilmesinde sürdürülmektedir.</w:t>
      </w:r>
    </w:p>
    <w:p w:rsidR="001A40A1" w:rsidRDefault="001A40A1" w:rsidP="001A40A1">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8"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4533E0" w:rsidRDefault="004533E0" w:rsidP="004533E0">
      <w:pPr>
        <w:widowControl/>
        <w:spacing w:after="160" w:line="259" w:lineRule="auto"/>
        <w:rPr>
          <w:rFonts w:ascii="Times New Roman" w:hAnsi="Times New Roman" w:cs="Times New Roman"/>
          <w:sz w:val="24"/>
          <w:szCs w:val="24"/>
        </w:rPr>
      </w:pPr>
      <w:r>
        <w:br w:type="page"/>
      </w:r>
    </w:p>
    <w:p w:rsidR="004533E0" w:rsidRPr="00E971A5" w:rsidRDefault="00F55BFB" w:rsidP="00F55BFB">
      <w:pPr>
        <w:pStyle w:val="Balk2"/>
        <w:numPr>
          <w:ilvl w:val="0"/>
          <w:numId w:val="0"/>
        </w:numPr>
        <w:ind w:left="360"/>
      </w:pPr>
      <w:bookmarkStart w:id="5" w:name="_Toc534375304"/>
      <w:bookmarkStart w:id="6" w:name="_Toc5190551"/>
      <w:r>
        <w:lastRenderedPageBreak/>
        <w:t>A.2. İç Kalite Güvencesi</w:t>
      </w:r>
      <w:bookmarkEnd w:id="5"/>
      <w:bookmarkEnd w:id="6"/>
    </w:p>
    <w:p w:rsidR="004533E0" w:rsidRDefault="004533E0" w:rsidP="004533E0">
      <w:pPr>
        <w:widowControl/>
        <w:spacing w:after="160" w:line="259" w:lineRule="auto"/>
        <w:jc w:val="both"/>
        <w:rPr>
          <w:rFonts w:ascii="Times New Roman" w:eastAsia="Times New Roman" w:hAnsi="Times New Roman" w:cs="Times New Roman"/>
          <w:sz w:val="24"/>
          <w:szCs w:val="24"/>
        </w:rPr>
      </w:pPr>
      <w:r w:rsidRPr="00E76BB9">
        <w:rPr>
          <w:rFonts w:ascii="Times New Roman" w:eastAsia="Times New Roman" w:hAnsi="Times New Roman" w:cs="Times New Roman"/>
          <w:sz w:val="24"/>
          <w:szCs w:val="24"/>
        </w:rPr>
        <w:t>Atılım Üniversitesi Kalite Komisyonu</w:t>
      </w:r>
      <w:r>
        <w:rPr>
          <w:rFonts w:ascii="Times New Roman" w:eastAsia="Times New Roman" w:hAnsi="Times New Roman" w:cs="Times New Roman"/>
          <w:sz w:val="24"/>
          <w:szCs w:val="24"/>
        </w:rPr>
        <w:t xml:space="preserve"> kuruluş ve faaliyetlerini </w:t>
      </w:r>
      <w:r w:rsidRPr="00E76BB9">
        <w:rPr>
          <w:rFonts w:ascii="Times New Roman" w:eastAsia="Times New Roman" w:hAnsi="Times New Roman" w:cs="Times New Roman"/>
          <w:sz w:val="24"/>
          <w:szCs w:val="24"/>
        </w:rPr>
        <w:t>29.12.2015 tarih ve 10 sayılı Senato Kararı</w:t>
      </w:r>
      <w:r>
        <w:rPr>
          <w:rFonts w:ascii="Times New Roman" w:eastAsia="Times New Roman" w:hAnsi="Times New Roman" w:cs="Times New Roman"/>
          <w:sz w:val="24"/>
          <w:szCs w:val="24"/>
        </w:rPr>
        <w:t xml:space="preserve"> ile kabul edildiği üzere, Atılım Üniversitesi Kalite Güvence Yönergesi çerçevesinde </w:t>
      </w:r>
      <w:r w:rsidRPr="00C45601">
        <w:rPr>
          <w:rFonts w:ascii="Times New Roman" w:eastAsia="Times New Roman" w:hAnsi="Times New Roman" w:cs="Times New Roman"/>
          <w:sz w:val="24"/>
          <w:szCs w:val="24"/>
        </w:rPr>
        <w:t xml:space="preserve">yürütmektedir. </w:t>
      </w:r>
      <w:r w:rsidR="003621E2" w:rsidRPr="00C45601">
        <w:rPr>
          <w:rFonts w:ascii="Times New Roman" w:eastAsia="Times New Roman" w:hAnsi="Times New Roman" w:cs="Times New Roman"/>
          <w:sz w:val="24"/>
          <w:szCs w:val="24"/>
        </w:rPr>
        <w:t>[A.2.1_AtilimUniversitesi_Kalite_Guvencesi_Yonergesi]</w:t>
      </w:r>
    </w:p>
    <w:p w:rsidR="004533E0" w:rsidRDefault="004533E0" w:rsidP="004533E0">
      <w:pPr>
        <w:widowControl/>
        <w:spacing w:after="160" w:line="259" w:lineRule="auto"/>
        <w:jc w:val="both"/>
        <w:rPr>
          <w:rFonts w:ascii="Times New Roman" w:eastAsia="Times New Roman" w:hAnsi="Times New Roman" w:cs="Times New Roman"/>
          <w:sz w:val="24"/>
          <w:szCs w:val="24"/>
        </w:rPr>
      </w:pPr>
      <w:r w:rsidRPr="00E76BB9">
        <w:rPr>
          <w:rFonts w:ascii="Times New Roman" w:eastAsia="Times New Roman" w:hAnsi="Times New Roman" w:cs="Times New Roman"/>
          <w:sz w:val="24"/>
          <w:szCs w:val="24"/>
        </w:rPr>
        <w:t>Kalite Komisyonu</w:t>
      </w:r>
      <w:r>
        <w:rPr>
          <w:rFonts w:ascii="Times New Roman" w:eastAsia="Times New Roman" w:hAnsi="Times New Roman" w:cs="Times New Roman"/>
          <w:sz w:val="24"/>
          <w:szCs w:val="24"/>
        </w:rPr>
        <w:t>nda iç ve dış paydaşların görüşlerine başvurulmakta, önerileri dikkate alınarak Komisyon çalışmalarına yansıtılmak üzere, Üniversite</w:t>
      </w:r>
      <w:r w:rsidRPr="00E76BB9">
        <w:rPr>
          <w:rFonts w:ascii="Times New Roman" w:eastAsia="Times New Roman" w:hAnsi="Times New Roman" w:cs="Times New Roman"/>
          <w:sz w:val="24"/>
          <w:szCs w:val="24"/>
        </w:rPr>
        <w:t>nin akademik ve idari hizmetlerinin değerlendirilmesi, geliştirilmesi, kalite düzeylerinin onaylanması ve tanınması çalışmaları</w:t>
      </w:r>
      <w:r>
        <w:rPr>
          <w:rFonts w:ascii="Times New Roman" w:eastAsia="Times New Roman" w:hAnsi="Times New Roman" w:cs="Times New Roman"/>
          <w:sz w:val="24"/>
          <w:szCs w:val="24"/>
        </w:rPr>
        <w:t xml:space="preserve"> gerçekleştirilmektedir.</w:t>
      </w:r>
    </w:p>
    <w:p w:rsidR="004533E0" w:rsidRDefault="004533E0" w:rsidP="004533E0">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Komisyonun görevleri şunlardır:</w:t>
      </w:r>
    </w:p>
    <w:p w:rsidR="004533E0" w:rsidRPr="0012392F" w:rsidRDefault="004533E0" w:rsidP="004533E0">
      <w:pPr>
        <w:pStyle w:val="ListeParagraf"/>
        <w:widowControl/>
        <w:numPr>
          <w:ilvl w:val="0"/>
          <w:numId w:val="2"/>
        </w:numPr>
        <w:spacing w:after="160" w:line="259" w:lineRule="auto"/>
        <w:ind w:left="357" w:hanging="357"/>
        <w:jc w:val="both"/>
        <w:rPr>
          <w:rFonts w:ascii="Times New Roman" w:eastAsia="Times New Roman" w:hAnsi="Times New Roman" w:cs="Times New Roman"/>
          <w:sz w:val="24"/>
          <w:szCs w:val="24"/>
        </w:rPr>
      </w:pPr>
      <w:proofErr w:type="gramStart"/>
      <w:r w:rsidRPr="0012392F">
        <w:rPr>
          <w:rFonts w:ascii="Times New Roman" w:eastAsia="Times New Roman" w:hAnsi="Times New Roman" w:cs="Times New Roman"/>
          <w:sz w:val="24"/>
          <w:szCs w:val="24"/>
        </w:rPr>
        <w:t>Üniversitenin stratejik planı, hedefleri ve Yükseköğretim Kalite Kurulu tarafından belirlenen usul ve esaslar doğrultusunda, eğitim-öğretim ve araştırma faaliyetleri ile idarî hizmetlerinin değerlendirilmesi, geliştirilmesi, iç ve dış kalite güvence sisteminin kurulması ve işletilmesi, kurumsal göstergelerin tespit edilmesi, kurumsal performansın izlenmesi, kurumsal gelişimin ölçülmesi, raporlanması kaps</w:t>
      </w:r>
      <w:r w:rsidR="00F725F9">
        <w:rPr>
          <w:rFonts w:ascii="Times New Roman" w:eastAsia="Times New Roman" w:hAnsi="Times New Roman" w:cs="Times New Roman"/>
          <w:sz w:val="24"/>
          <w:szCs w:val="24"/>
        </w:rPr>
        <w:t>amında yapılacak çalışmaları üre</w:t>
      </w:r>
      <w:r w:rsidRPr="0012392F">
        <w:rPr>
          <w:rFonts w:ascii="Times New Roman" w:eastAsia="Times New Roman" w:hAnsi="Times New Roman" w:cs="Times New Roman"/>
          <w:sz w:val="24"/>
          <w:szCs w:val="24"/>
        </w:rPr>
        <w:t>tmek ve bu çalışmaları Senato onayına sunmak.</w:t>
      </w:r>
      <w:proofErr w:type="gramEnd"/>
    </w:p>
    <w:p w:rsidR="004533E0" w:rsidRPr="0012392F" w:rsidRDefault="004533E0" w:rsidP="004533E0">
      <w:pPr>
        <w:pStyle w:val="ListeParagraf"/>
        <w:widowControl/>
        <w:numPr>
          <w:ilvl w:val="0"/>
          <w:numId w:val="2"/>
        </w:numPr>
        <w:spacing w:after="160" w:line="259" w:lineRule="auto"/>
        <w:jc w:val="both"/>
        <w:rPr>
          <w:rFonts w:ascii="Times New Roman" w:eastAsia="Times New Roman" w:hAnsi="Times New Roman" w:cs="Times New Roman"/>
          <w:sz w:val="24"/>
          <w:szCs w:val="24"/>
        </w:rPr>
      </w:pPr>
      <w:r w:rsidRPr="0012392F">
        <w:rPr>
          <w:rFonts w:ascii="Times New Roman" w:eastAsia="Times New Roman" w:hAnsi="Times New Roman" w:cs="Times New Roman"/>
          <w:sz w:val="24"/>
          <w:szCs w:val="24"/>
        </w:rPr>
        <w:t>Üniversitede “İç değerlendirme” çalışmalarını yürütmek ve kurumsal değerlendirme ve kalite geliştirme çalışmalarının sonuçlarını içeren yıllık kurumsal değerlendirme raporunu hazırlamak veya hazırlatmak ve senatoya sunmak, onaylanan yıllık kurumsal değerlendirme raporunu, internet ortamında Atılım Üniversitesi ana sayfasında ulaşılacak şekilde kamuoyu ile paylaşmak.</w:t>
      </w:r>
    </w:p>
    <w:p w:rsidR="004533E0" w:rsidRPr="0012392F" w:rsidRDefault="004533E0" w:rsidP="004533E0">
      <w:pPr>
        <w:pStyle w:val="ListeParagraf"/>
        <w:widowControl/>
        <w:numPr>
          <w:ilvl w:val="0"/>
          <w:numId w:val="2"/>
        </w:numPr>
        <w:spacing w:after="160" w:line="259" w:lineRule="auto"/>
        <w:jc w:val="both"/>
        <w:rPr>
          <w:rFonts w:ascii="Times New Roman" w:eastAsia="Times New Roman" w:hAnsi="Times New Roman" w:cs="Times New Roman"/>
          <w:sz w:val="24"/>
          <w:szCs w:val="24"/>
        </w:rPr>
      </w:pPr>
      <w:r w:rsidRPr="0012392F">
        <w:rPr>
          <w:rFonts w:ascii="Times New Roman" w:eastAsia="Times New Roman" w:hAnsi="Times New Roman" w:cs="Times New Roman"/>
          <w:sz w:val="24"/>
          <w:szCs w:val="24"/>
        </w:rPr>
        <w:t>Üniversitenin en çok beş yılda bir ‘dış değerlendirme’ yaptırması için dış değerlendirme sürecine yönelik gerekli hazırlıkları yapmak, Yükseköğretim Kalite Kurulu ile dış değerlendirici kurumlara her türlü desteği vermek.</w:t>
      </w:r>
    </w:p>
    <w:p w:rsidR="00563DE1" w:rsidRDefault="004533E0" w:rsidP="004533E0">
      <w:pPr>
        <w:autoSpaceDE w:val="0"/>
        <w:autoSpaceDN w:val="0"/>
        <w:jc w:val="both"/>
        <w:rPr>
          <w:rFonts w:ascii="Times New Roman" w:hAnsi="Times New Roman" w:cs="Times New Roman"/>
          <w:sz w:val="24"/>
          <w:szCs w:val="24"/>
        </w:rPr>
      </w:pPr>
      <w:r w:rsidRPr="00CA144B">
        <w:rPr>
          <w:rFonts w:ascii="Times New Roman" w:eastAsia="Times New Roman" w:hAnsi="Times New Roman" w:cs="Times New Roman"/>
          <w:sz w:val="24"/>
          <w:szCs w:val="24"/>
        </w:rPr>
        <w:t>Atılım Üniversitesi Kalite Komisyonu geniş</w:t>
      </w:r>
      <w:r w:rsidRPr="0012392F">
        <w:rPr>
          <w:rFonts w:ascii="Times New Roman" w:eastAsia="Times New Roman" w:hAnsi="Times New Roman" w:cs="Times New Roman"/>
          <w:sz w:val="24"/>
          <w:szCs w:val="24"/>
        </w:rPr>
        <w:t xml:space="preserve"> ve kapsamlı bir yapıdan oluşmaktadır. </w:t>
      </w:r>
      <w:proofErr w:type="gramStart"/>
      <w:r w:rsidRPr="0012392F">
        <w:rPr>
          <w:rFonts w:ascii="Times New Roman" w:eastAsia="Times New Roman" w:hAnsi="Times New Roman" w:cs="Times New Roman"/>
          <w:sz w:val="24"/>
          <w:szCs w:val="24"/>
        </w:rPr>
        <w:t xml:space="preserve">Atılım Üniversitesi Kalite Komisyonu </w:t>
      </w:r>
      <w:r>
        <w:rPr>
          <w:rFonts w:ascii="Times New Roman" w:eastAsia="Times New Roman" w:hAnsi="Times New Roman" w:cs="Times New Roman"/>
          <w:sz w:val="24"/>
          <w:szCs w:val="24"/>
        </w:rPr>
        <w:t xml:space="preserve">ilgili </w:t>
      </w:r>
      <w:proofErr w:type="spellStart"/>
      <w:r>
        <w:rPr>
          <w:rFonts w:ascii="Times New Roman" w:eastAsia="Times New Roman" w:hAnsi="Times New Roman" w:cs="Times New Roman"/>
          <w:sz w:val="24"/>
          <w:szCs w:val="24"/>
        </w:rPr>
        <w:t>yönerge’de</w:t>
      </w:r>
      <w:proofErr w:type="spellEnd"/>
      <w:r>
        <w:rPr>
          <w:rFonts w:ascii="Times New Roman" w:eastAsia="Times New Roman" w:hAnsi="Times New Roman" w:cs="Times New Roman"/>
          <w:sz w:val="24"/>
          <w:szCs w:val="24"/>
        </w:rPr>
        <w:t xml:space="preserve"> bulunan Madde-5’te ifade edildiği üzere; </w:t>
      </w:r>
      <w:r w:rsidRPr="0012392F">
        <w:rPr>
          <w:rFonts w:ascii="Times New Roman" w:eastAsia="Times New Roman" w:hAnsi="Times New Roman" w:cs="Times New Roman"/>
          <w:sz w:val="24"/>
          <w:szCs w:val="24"/>
        </w:rPr>
        <w:t>şu üyelerden oluşmaktadır:</w:t>
      </w:r>
      <w:r w:rsidR="00D91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Pr>
          <w:rFonts w:ascii="Times New Roman" w:hAnsi="Times New Roman" w:cs="Times New Roman"/>
          <w:sz w:val="24"/>
          <w:szCs w:val="24"/>
        </w:rPr>
        <w:t>ektör, rektör yardımcıları, tüm dekanlar, tüm enstitü müdürleri, tüm yüksekokul müdürleri, tüm meslek yüksekokulu müdürleri, tüm ara</w:t>
      </w:r>
      <w:r>
        <w:rPr>
          <w:rFonts w:ascii="TimesNewRoman" w:hAnsi="TimesNewRoman"/>
          <w:sz w:val="24"/>
          <w:szCs w:val="24"/>
        </w:rPr>
        <w:t>ş</w:t>
      </w:r>
      <w:r>
        <w:rPr>
          <w:rFonts w:ascii="Times New Roman" w:hAnsi="Times New Roman" w:cs="Times New Roman"/>
          <w:sz w:val="24"/>
          <w:szCs w:val="24"/>
        </w:rPr>
        <w:t>tırma merkez müdürleri ile Üniversite genel sekreteri, kurumsal geli</w:t>
      </w:r>
      <w:r>
        <w:rPr>
          <w:rFonts w:ascii="TimesNewRoman" w:hAnsi="TimesNewRoman"/>
          <w:sz w:val="24"/>
          <w:szCs w:val="24"/>
        </w:rPr>
        <w:t>ş</w:t>
      </w:r>
      <w:r>
        <w:rPr>
          <w:rFonts w:ascii="Times New Roman" w:hAnsi="Times New Roman" w:cs="Times New Roman"/>
          <w:sz w:val="24"/>
          <w:szCs w:val="24"/>
        </w:rPr>
        <w:t>im koordinatörü, mütevelli heyetine ve rektörlü</w:t>
      </w:r>
      <w:r>
        <w:rPr>
          <w:rFonts w:ascii="TimesNewRoman" w:hAnsi="TimesNewRoman"/>
          <w:sz w:val="24"/>
          <w:szCs w:val="24"/>
        </w:rPr>
        <w:t>ğ</w:t>
      </w:r>
      <w:r>
        <w:rPr>
          <w:rFonts w:ascii="Times New Roman" w:hAnsi="Times New Roman" w:cs="Times New Roman"/>
          <w:sz w:val="24"/>
          <w:szCs w:val="24"/>
        </w:rPr>
        <w:t>e ba</w:t>
      </w:r>
      <w:r>
        <w:rPr>
          <w:rFonts w:ascii="TimesNewRoman" w:hAnsi="TimesNewRoman"/>
          <w:sz w:val="24"/>
          <w:szCs w:val="24"/>
        </w:rPr>
        <w:t>ğ</w:t>
      </w:r>
      <w:r>
        <w:rPr>
          <w:rFonts w:ascii="Times New Roman" w:hAnsi="Times New Roman" w:cs="Times New Roman"/>
          <w:sz w:val="24"/>
          <w:szCs w:val="24"/>
        </w:rPr>
        <w:t>lı idari birim yöneticileri veya yukarıda sayılan yöneticilerin vekilleri ve ö</w:t>
      </w:r>
      <w:r>
        <w:rPr>
          <w:rFonts w:ascii="TimesNewRoman" w:hAnsi="TimesNewRoman"/>
          <w:sz w:val="24"/>
          <w:szCs w:val="24"/>
        </w:rPr>
        <w:t>ğ</w:t>
      </w:r>
      <w:r>
        <w:rPr>
          <w:rFonts w:ascii="Times New Roman" w:hAnsi="Times New Roman" w:cs="Times New Roman"/>
          <w:sz w:val="24"/>
          <w:szCs w:val="24"/>
        </w:rPr>
        <w:t>renci konseyi temsilcisinden olu</w:t>
      </w:r>
      <w:r>
        <w:rPr>
          <w:rFonts w:ascii="TimesNewRoman" w:hAnsi="TimesNewRoman"/>
          <w:sz w:val="24"/>
          <w:szCs w:val="24"/>
        </w:rPr>
        <w:t>ş</w:t>
      </w:r>
      <w:r>
        <w:rPr>
          <w:rFonts w:ascii="Times New Roman" w:hAnsi="Times New Roman" w:cs="Times New Roman"/>
          <w:sz w:val="24"/>
          <w:szCs w:val="24"/>
        </w:rPr>
        <w:t>ur.</w:t>
      </w:r>
      <w:r w:rsidR="004D4B8F">
        <w:rPr>
          <w:rFonts w:ascii="Times New Roman" w:hAnsi="Times New Roman" w:cs="Times New Roman"/>
          <w:sz w:val="24"/>
          <w:szCs w:val="24"/>
        </w:rPr>
        <w:t xml:space="preserve"> </w:t>
      </w:r>
      <w:proofErr w:type="gramEnd"/>
      <w:r w:rsidR="00F61E53">
        <w:rPr>
          <w:rFonts w:ascii="Times New Roman" w:hAnsi="Times New Roman" w:cs="Times New Roman"/>
          <w:sz w:val="24"/>
          <w:szCs w:val="24"/>
        </w:rPr>
        <w:t xml:space="preserve">İlgili komisyon çalışmalarının çatı çıktısı olarak; stratejik plan 2020 – 2024 dönemi geliştirilmesinde aktif katılımları olmuştur. Bu çerçevede; önceki bölümlerde detayları verildiği üzere farklı grup ve konularda çeşitli toplantılar, </w:t>
      </w:r>
      <w:proofErr w:type="spellStart"/>
      <w:r w:rsidR="00F61E53">
        <w:rPr>
          <w:rFonts w:ascii="Times New Roman" w:hAnsi="Times New Roman" w:cs="Times New Roman"/>
          <w:sz w:val="24"/>
          <w:szCs w:val="24"/>
        </w:rPr>
        <w:t>çalıştaylar</w:t>
      </w:r>
      <w:proofErr w:type="spellEnd"/>
      <w:r w:rsidR="00F61E53">
        <w:rPr>
          <w:rFonts w:ascii="Times New Roman" w:hAnsi="Times New Roman" w:cs="Times New Roman"/>
          <w:sz w:val="24"/>
          <w:szCs w:val="24"/>
        </w:rPr>
        <w:t xml:space="preserve"> (Kasım 2019’da “</w:t>
      </w:r>
      <w:hyperlink r:id="rId9" w:history="1">
        <w:r w:rsidR="00F61E53" w:rsidRPr="00511EEF">
          <w:rPr>
            <w:rStyle w:val="Kpr"/>
            <w:rFonts w:ascii="Times New Roman" w:hAnsi="Times New Roman" w:cs="Times New Roman"/>
            <w:sz w:val="24"/>
            <w:szCs w:val="24"/>
          </w:rPr>
          <w:t xml:space="preserve">Stratejik Yönetim </w:t>
        </w:r>
        <w:proofErr w:type="spellStart"/>
        <w:r w:rsidR="00F61E53" w:rsidRPr="00511EEF">
          <w:rPr>
            <w:rStyle w:val="Kpr"/>
            <w:rFonts w:ascii="Times New Roman" w:hAnsi="Times New Roman" w:cs="Times New Roman"/>
            <w:sz w:val="24"/>
            <w:szCs w:val="24"/>
          </w:rPr>
          <w:t>Çalıştayı</w:t>
        </w:r>
        <w:proofErr w:type="spellEnd"/>
      </w:hyperlink>
      <w:r w:rsidR="00F61E53">
        <w:rPr>
          <w:rFonts w:ascii="Times New Roman" w:hAnsi="Times New Roman" w:cs="Times New Roman"/>
          <w:sz w:val="24"/>
          <w:szCs w:val="24"/>
        </w:rPr>
        <w:t>” ile idari ve akademik tüm yöneticiler katılmıştır. Aralık 2019’da “</w:t>
      </w:r>
      <w:hyperlink r:id="rId10" w:history="1">
        <w:r w:rsidR="00F61E53" w:rsidRPr="00511EEF">
          <w:rPr>
            <w:rStyle w:val="Kpr"/>
            <w:rFonts w:ascii="Times New Roman" w:hAnsi="Times New Roman" w:cs="Times New Roman"/>
            <w:sz w:val="24"/>
            <w:szCs w:val="24"/>
          </w:rPr>
          <w:t xml:space="preserve">Öğrenci </w:t>
        </w:r>
        <w:proofErr w:type="spellStart"/>
        <w:r w:rsidR="00F61E53" w:rsidRPr="00511EEF">
          <w:rPr>
            <w:rStyle w:val="Kpr"/>
            <w:rFonts w:ascii="Times New Roman" w:hAnsi="Times New Roman" w:cs="Times New Roman"/>
            <w:sz w:val="24"/>
            <w:szCs w:val="24"/>
          </w:rPr>
          <w:t>Çalıştayı</w:t>
        </w:r>
        <w:proofErr w:type="spellEnd"/>
      </w:hyperlink>
      <w:r w:rsidR="00F61E53">
        <w:rPr>
          <w:rFonts w:ascii="Times New Roman" w:hAnsi="Times New Roman" w:cs="Times New Roman"/>
          <w:sz w:val="24"/>
          <w:szCs w:val="24"/>
        </w:rPr>
        <w:t xml:space="preserve">” ile farklı bölüm ve sınıflardan 50 civarı öğrenci ile odak grup çalışmaları gerçekleştirilmiştir. Aralık 2019’da “Uluslararası Öğrenci </w:t>
      </w:r>
      <w:proofErr w:type="spellStart"/>
      <w:r w:rsidR="00F61E53">
        <w:rPr>
          <w:rFonts w:ascii="Times New Roman" w:hAnsi="Times New Roman" w:cs="Times New Roman"/>
          <w:sz w:val="24"/>
          <w:szCs w:val="24"/>
        </w:rPr>
        <w:t>Çalıştayı</w:t>
      </w:r>
      <w:proofErr w:type="spellEnd"/>
      <w:r w:rsidR="00F61E53">
        <w:rPr>
          <w:rFonts w:ascii="Times New Roman" w:hAnsi="Times New Roman" w:cs="Times New Roman"/>
          <w:sz w:val="24"/>
          <w:szCs w:val="24"/>
        </w:rPr>
        <w:t>” ile farklı bölüm ve sınıflardan öğrenciler ile “öğrenci odaklı üniversite” gereksinimleri tartışılmıştır.)</w:t>
      </w:r>
      <w:r w:rsidR="00563DE1">
        <w:rPr>
          <w:rFonts w:ascii="Times New Roman" w:hAnsi="Times New Roman" w:cs="Times New Roman"/>
          <w:sz w:val="24"/>
          <w:szCs w:val="24"/>
        </w:rPr>
        <w:t xml:space="preserve"> düzenlenmiştir. </w:t>
      </w:r>
      <w:r w:rsidR="00571A4C">
        <w:rPr>
          <w:rFonts w:ascii="Times New Roman" w:hAnsi="Times New Roman" w:cs="Times New Roman"/>
          <w:sz w:val="24"/>
          <w:szCs w:val="24"/>
        </w:rPr>
        <w:t xml:space="preserve">Bu çerçevede; hem üniversitenin öz değerlendirme yaklaşımı çerçevesinde; tüm birim ve bölümlerindeki yöneticilerin katılımıyla durum tespitleri yapılmış, hem de akran değerlendirmesi bağlamında; </w:t>
      </w:r>
      <w:hyperlink r:id="rId11" w:history="1">
        <w:r w:rsidR="00571A4C" w:rsidRPr="009E2AEF">
          <w:rPr>
            <w:rStyle w:val="Kpr"/>
            <w:rFonts w:ascii="Times New Roman" w:hAnsi="Times New Roman" w:cs="Times New Roman"/>
            <w:sz w:val="24"/>
            <w:szCs w:val="24"/>
          </w:rPr>
          <w:t>öğrencilerin (yerli ve uluslararası)</w:t>
        </w:r>
      </w:hyperlink>
      <w:r w:rsidR="00571A4C">
        <w:rPr>
          <w:rFonts w:ascii="Times New Roman" w:hAnsi="Times New Roman" w:cs="Times New Roman"/>
          <w:sz w:val="24"/>
          <w:szCs w:val="24"/>
        </w:rPr>
        <w:t xml:space="preserve"> iyileştirmeye açık alanların tespit ve </w:t>
      </w:r>
      <w:proofErr w:type="gramStart"/>
      <w:r w:rsidR="00571A4C">
        <w:rPr>
          <w:rFonts w:ascii="Times New Roman" w:hAnsi="Times New Roman" w:cs="Times New Roman"/>
          <w:sz w:val="24"/>
          <w:szCs w:val="24"/>
        </w:rPr>
        <w:t>revizyonuna</w:t>
      </w:r>
      <w:proofErr w:type="gramEnd"/>
      <w:r w:rsidR="00571A4C">
        <w:rPr>
          <w:rFonts w:ascii="Times New Roman" w:hAnsi="Times New Roman" w:cs="Times New Roman"/>
          <w:sz w:val="24"/>
          <w:szCs w:val="24"/>
        </w:rPr>
        <w:t xml:space="preserve"> dair </w:t>
      </w:r>
      <w:r w:rsidR="00B47449">
        <w:rPr>
          <w:rFonts w:ascii="Times New Roman" w:hAnsi="Times New Roman" w:cs="Times New Roman"/>
          <w:sz w:val="24"/>
          <w:szCs w:val="24"/>
        </w:rPr>
        <w:t xml:space="preserve">iyileştirme </w:t>
      </w:r>
      <w:r w:rsidR="00571A4C">
        <w:rPr>
          <w:rFonts w:ascii="Times New Roman" w:hAnsi="Times New Roman" w:cs="Times New Roman"/>
          <w:sz w:val="24"/>
          <w:szCs w:val="24"/>
        </w:rPr>
        <w:t>raporlar</w:t>
      </w:r>
      <w:r w:rsidR="0095632E">
        <w:rPr>
          <w:rFonts w:ascii="Times New Roman" w:hAnsi="Times New Roman" w:cs="Times New Roman"/>
          <w:sz w:val="24"/>
          <w:szCs w:val="24"/>
        </w:rPr>
        <w:t>ı</w:t>
      </w:r>
      <w:r w:rsidR="00571A4C">
        <w:rPr>
          <w:rFonts w:ascii="Times New Roman" w:hAnsi="Times New Roman" w:cs="Times New Roman"/>
          <w:sz w:val="24"/>
          <w:szCs w:val="24"/>
        </w:rPr>
        <w:t xml:space="preserve"> üretilmiştir.</w:t>
      </w:r>
      <w:r w:rsidR="00563DE1">
        <w:rPr>
          <w:rFonts w:ascii="Times New Roman" w:hAnsi="Times New Roman" w:cs="Times New Roman"/>
          <w:sz w:val="24"/>
          <w:szCs w:val="24"/>
        </w:rPr>
        <w:t xml:space="preserve">                  </w:t>
      </w:r>
    </w:p>
    <w:p w:rsidR="00F241F7" w:rsidRPr="00F241F7" w:rsidRDefault="00F241F7" w:rsidP="00F241F7">
      <w:pPr>
        <w:widowControl/>
        <w:spacing w:after="60" w:line="259" w:lineRule="auto"/>
        <w:jc w:val="both"/>
        <w:rPr>
          <w:rFonts w:ascii="Times New Roman" w:eastAsia="Calibri" w:hAnsi="Times New Roman" w:cs="Times New Roman"/>
          <w:sz w:val="10"/>
          <w:szCs w:val="10"/>
        </w:rPr>
      </w:pPr>
    </w:p>
    <w:p w:rsidR="00F241F7" w:rsidRDefault="00F241F7" w:rsidP="00F241F7">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12"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F241F7" w:rsidRDefault="00F241F7" w:rsidP="004533E0">
      <w:pPr>
        <w:widowControl/>
        <w:spacing w:after="160" w:line="259" w:lineRule="auto"/>
        <w:jc w:val="both"/>
        <w:rPr>
          <w:rFonts w:ascii="Times New Roman" w:eastAsia="Times New Roman" w:hAnsi="Times New Roman" w:cs="Times New Roman"/>
          <w:sz w:val="24"/>
          <w:szCs w:val="24"/>
        </w:rPr>
      </w:pPr>
    </w:p>
    <w:p w:rsidR="004533E0" w:rsidRPr="00E971A5" w:rsidRDefault="00124F3C" w:rsidP="00124F3C">
      <w:pPr>
        <w:pStyle w:val="Balk2"/>
        <w:numPr>
          <w:ilvl w:val="0"/>
          <w:numId w:val="0"/>
        </w:numPr>
        <w:ind w:left="360"/>
      </w:pPr>
      <w:bookmarkStart w:id="7" w:name="_Toc534375305"/>
      <w:bookmarkStart w:id="8" w:name="_Toc5190552"/>
      <w:r>
        <w:lastRenderedPageBreak/>
        <w:t xml:space="preserve">A.3. </w:t>
      </w:r>
      <w:r w:rsidR="004533E0" w:rsidRPr="00E971A5">
        <w:t>Paydaş Katılımı</w:t>
      </w:r>
      <w:bookmarkEnd w:id="7"/>
      <w:bookmarkEnd w:id="8"/>
      <w:r w:rsidR="004533E0" w:rsidRPr="00E971A5">
        <w:t xml:space="preserve"> </w:t>
      </w:r>
    </w:p>
    <w:p w:rsidR="004533E0" w:rsidRPr="000A7387" w:rsidRDefault="004533E0" w:rsidP="004533E0">
      <w:pPr>
        <w:widowControl/>
        <w:spacing w:after="160" w:line="259" w:lineRule="auto"/>
        <w:jc w:val="both"/>
        <w:rPr>
          <w:rFonts w:ascii="Times New Roman" w:eastAsia="Times New Roman" w:hAnsi="Times New Roman" w:cs="Times New Roman"/>
          <w:sz w:val="24"/>
          <w:szCs w:val="24"/>
        </w:rPr>
      </w:pPr>
      <w:r w:rsidRPr="000A7387">
        <w:rPr>
          <w:rFonts w:ascii="Times New Roman" w:eastAsia="Times New Roman" w:hAnsi="Times New Roman" w:cs="Times New Roman"/>
          <w:sz w:val="24"/>
          <w:szCs w:val="24"/>
        </w:rPr>
        <w:t>Atılım Üniversitesi 2015-2019 Stratejik Planında; “öncelikle iç paydaş memnuniyetini yükseltecek adımlar atılacak, paydaşlarla iletişim artırılacak, çalışanların, öğrencilerin ve mezunların Atılım Üniversitesi’nin bir parçası olmaktan memnun olmaları ve bu memnuniyetin sürekli artırılması sağlanacaktır” hedefine yer verilmiştir. Bu hedefin belirlenmesi sürecinde iç ve dış paydaşlarla görüşmeler yapılmış, fikirleri alınmış ve derlenerek plana yansıtılmıştır.</w:t>
      </w:r>
    </w:p>
    <w:p w:rsidR="004533E0" w:rsidRPr="000A7387" w:rsidRDefault="004533E0" w:rsidP="004533E0">
      <w:pPr>
        <w:widowControl/>
        <w:spacing w:after="160" w:line="259" w:lineRule="auto"/>
        <w:jc w:val="both"/>
        <w:rPr>
          <w:rFonts w:ascii="Times New Roman" w:eastAsia="Times New Roman" w:hAnsi="Times New Roman" w:cs="Times New Roman"/>
          <w:sz w:val="24"/>
          <w:szCs w:val="24"/>
        </w:rPr>
      </w:pPr>
      <w:r w:rsidRPr="000A7387">
        <w:rPr>
          <w:rFonts w:ascii="Times New Roman" w:eastAsia="Times New Roman" w:hAnsi="Times New Roman" w:cs="Times New Roman"/>
          <w:sz w:val="24"/>
          <w:szCs w:val="24"/>
        </w:rPr>
        <w:t xml:space="preserve">Üniversite içinde akademik performans değerlendirme, ders ve öğretim elemanı değerlendirme anketleri, personel ve öğrenci memnuniyet anketleri yapılmakta, iç paydaşların kaliteye katkı sağlamasına imkân sağlanmaktadır. Örnek olarak yapılan anketlerde iç paydaş memnuniyetinin en yüksek çıktığı eğitim kalitesinin kalıcı olması ve sürekli iyileştirilmesi amacıyla, özellikle yeni göreve başlayan öğretim elemanları için hizmet içi eğitim seminerleri gerçekleştirilmektedir. </w:t>
      </w:r>
    </w:p>
    <w:p w:rsidR="004533E0" w:rsidRDefault="004533E0" w:rsidP="004533E0">
      <w:pPr>
        <w:widowControl/>
        <w:spacing w:after="160" w:line="259" w:lineRule="auto"/>
        <w:jc w:val="both"/>
        <w:rPr>
          <w:rFonts w:ascii="Times New Roman" w:eastAsia="Times New Roman" w:hAnsi="Times New Roman" w:cs="Times New Roman"/>
          <w:sz w:val="24"/>
          <w:szCs w:val="24"/>
        </w:rPr>
      </w:pPr>
      <w:r w:rsidRPr="000A7387">
        <w:rPr>
          <w:rFonts w:ascii="Times New Roman" w:eastAsia="Times New Roman" w:hAnsi="Times New Roman" w:cs="Times New Roman"/>
          <w:sz w:val="24"/>
          <w:szCs w:val="24"/>
        </w:rPr>
        <w:t xml:space="preserve">İç paydaş memnuniyetinin nispeten düşük olduğu sosyal ortamların iyileştirilmesi çalışmalarına öngörülen stratejik hedefler çerçevesinde devam edilmektedir. </w:t>
      </w:r>
      <w:r w:rsidR="00A94F39">
        <w:rPr>
          <w:rFonts w:ascii="Times New Roman" w:eastAsia="Times New Roman" w:hAnsi="Times New Roman" w:cs="Times New Roman"/>
          <w:sz w:val="24"/>
          <w:szCs w:val="24"/>
        </w:rPr>
        <w:t xml:space="preserve">Cari </w:t>
      </w:r>
      <w:r w:rsidR="00401D58">
        <w:rPr>
          <w:rFonts w:ascii="Times New Roman" w:eastAsia="Times New Roman" w:hAnsi="Times New Roman" w:cs="Times New Roman"/>
          <w:sz w:val="24"/>
          <w:szCs w:val="24"/>
        </w:rPr>
        <w:t>s</w:t>
      </w:r>
      <w:r w:rsidRPr="000A7387">
        <w:rPr>
          <w:rFonts w:ascii="Times New Roman" w:eastAsia="Times New Roman" w:hAnsi="Times New Roman" w:cs="Times New Roman"/>
          <w:sz w:val="24"/>
          <w:szCs w:val="24"/>
        </w:rPr>
        <w:t xml:space="preserve">tratejik </w:t>
      </w:r>
      <w:r w:rsidR="00401D58">
        <w:rPr>
          <w:rFonts w:ascii="Times New Roman" w:eastAsia="Times New Roman" w:hAnsi="Times New Roman" w:cs="Times New Roman"/>
          <w:sz w:val="24"/>
          <w:szCs w:val="24"/>
        </w:rPr>
        <w:t>p</w:t>
      </w:r>
      <w:r w:rsidRPr="000A7387">
        <w:rPr>
          <w:rFonts w:ascii="Times New Roman" w:eastAsia="Times New Roman" w:hAnsi="Times New Roman" w:cs="Times New Roman"/>
          <w:sz w:val="24"/>
          <w:szCs w:val="24"/>
        </w:rPr>
        <w:t xml:space="preserve">lan çerçevesinde kurumsal kapasiteyi güçlendirme kapsamında sosyal ortamların hizmet kalitesinin artırılmasına ilişkin memnuniyet seviyeleri sürekli takip edilmektedir. </w:t>
      </w:r>
    </w:p>
    <w:p w:rsidR="004533E0" w:rsidRPr="000A7387" w:rsidRDefault="004533E0" w:rsidP="004533E0">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başlık altında; daha önce gündeme geldiği üzere, 2020-2024 Stratejik Planı (taslak) çalışmaları çerçevesinde; 09-11 Kasım 2019 tarihinde Üniversite üst yönetiminin katılımıyla gerçekleştirilen “Stratejik Yönetim </w:t>
      </w:r>
      <w:proofErr w:type="spellStart"/>
      <w:r>
        <w:rPr>
          <w:rFonts w:ascii="Times New Roman" w:eastAsia="Times New Roman" w:hAnsi="Times New Roman" w:cs="Times New Roman"/>
          <w:sz w:val="24"/>
          <w:szCs w:val="24"/>
        </w:rPr>
        <w:t>Çalıştayı</w:t>
      </w:r>
      <w:proofErr w:type="spellEnd"/>
      <w:r>
        <w:rPr>
          <w:rFonts w:ascii="Times New Roman" w:eastAsia="Times New Roman" w:hAnsi="Times New Roman" w:cs="Times New Roman"/>
          <w:sz w:val="24"/>
          <w:szCs w:val="24"/>
        </w:rPr>
        <w:t xml:space="preserve">”, 12 Aralık 2019 tarihinde gerçekleştirilen ve Üniversitemizin farklı bölüm/sınıf dağılımına dikkat edilerek kurgulanmış “Ulusal Öğrenci </w:t>
      </w:r>
      <w:proofErr w:type="spellStart"/>
      <w:r>
        <w:rPr>
          <w:rFonts w:ascii="Times New Roman" w:eastAsia="Times New Roman" w:hAnsi="Times New Roman" w:cs="Times New Roman"/>
          <w:sz w:val="24"/>
          <w:szCs w:val="24"/>
        </w:rPr>
        <w:t>Çalıştayı</w:t>
      </w:r>
      <w:proofErr w:type="spellEnd"/>
      <w:r>
        <w:rPr>
          <w:rFonts w:ascii="Times New Roman" w:eastAsia="Times New Roman" w:hAnsi="Times New Roman" w:cs="Times New Roman"/>
          <w:sz w:val="24"/>
          <w:szCs w:val="24"/>
        </w:rPr>
        <w:t xml:space="preserve">” ve son olarak 19 Aralık 2019 tarihinde gerçekleştirilen “Uluslararası Öğrenci </w:t>
      </w:r>
      <w:proofErr w:type="spellStart"/>
      <w:r>
        <w:rPr>
          <w:rFonts w:ascii="Times New Roman" w:eastAsia="Times New Roman" w:hAnsi="Times New Roman" w:cs="Times New Roman"/>
          <w:sz w:val="24"/>
          <w:szCs w:val="24"/>
        </w:rPr>
        <w:t>Çalıştayı</w:t>
      </w:r>
      <w:proofErr w:type="spellEnd"/>
      <w:r>
        <w:rPr>
          <w:rFonts w:ascii="Times New Roman" w:eastAsia="Times New Roman" w:hAnsi="Times New Roman" w:cs="Times New Roman"/>
          <w:sz w:val="24"/>
          <w:szCs w:val="24"/>
        </w:rPr>
        <w:t xml:space="preserve">” ile iç paydaşlarımızın tamamına yönelik </w:t>
      </w:r>
      <w:proofErr w:type="gramStart"/>
      <w:r>
        <w:rPr>
          <w:rFonts w:ascii="Times New Roman" w:eastAsia="Times New Roman" w:hAnsi="Times New Roman" w:cs="Times New Roman"/>
          <w:sz w:val="24"/>
          <w:szCs w:val="24"/>
        </w:rPr>
        <w:t>spesifik</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çalıştaylarla</w:t>
      </w:r>
      <w:proofErr w:type="spellEnd"/>
      <w:r>
        <w:rPr>
          <w:rFonts w:ascii="Times New Roman" w:eastAsia="Times New Roman" w:hAnsi="Times New Roman" w:cs="Times New Roman"/>
          <w:sz w:val="24"/>
          <w:szCs w:val="24"/>
        </w:rPr>
        <w:t xml:space="preserve"> geri dönüşler alınmış, değerlendirilmiş ve üretilmekte olan </w:t>
      </w:r>
      <w:r w:rsidR="00E86A06">
        <w:rPr>
          <w:rFonts w:ascii="Times New Roman" w:eastAsia="Times New Roman" w:hAnsi="Times New Roman" w:cs="Times New Roman"/>
          <w:sz w:val="24"/>
          <w:szCs w:val="24"/>
        </w:rPr>
        <w:t xml:space="preserve">yeni </w:t>
      </w:r>
      <w:r>
        <w:rPr>
          <w:rFonts w:ascii="Times New Roman" w:eastAsia="Times New Roman" w:hAnsi="Times New Roman" w:cs="Times New Roman"/>
          <w:sz w:val="24"/>
          <w:szCs w:val="24"/>
        </w:rPr>
        <w:t xml:space="preserve">stratejik plana girdi olması sağlanmıştır. Konuya ilişkin katılım ve sonuç raporları üretilerek, ilgili paydaşlara sunulmuştur. </w:t>
      </w:r>
    </w:p>
    <w:p w:rsidR="00C11AD2" w:rsidRPr="009F02FA" w:rsidRDefault="004533E0" w:rsidP="00C11AD2">
      <w:pPr>
        <w:spacing w:after="160" w:line="259" w:lineRule="auto"/>
        <w:jc w:val="both"/>
        <w:rPr>
          <w:rFonts w:ascii="Times New Roman" w:eastAsia="Times New Roman" w:hAnsi="Times New Roman" w:cs="Times New Roman"/>
          <w:sz w:val="24"/>
          <w:szCs w:val="24"/>
        </w:rPr>
      </w:pPr>
      <w:r w:rsidRPr="000A7387">
        <w:rPr>
          <w:rFonts w:ascii="Times New Roman" w:eastAsia="Times New Roman" w:hAnsi="Times New Roman" w:cs="Times New Roman"/>
          <w:sz w:val="24"/>
          <w:szCs w:val="24"/>
        </w:rPr>
        <w:t>Dış paydaş katılımı açısından etkin platformlara örnekler ise MÜDEK, FEDEK, TURAK gibi akreditasyon çalışmalarındaki katılım ortamlarıdır.</w:t>
      </w:r>
      <w:r w:rsidR="00C11AD2">
        <w:rPr>
          <w:rFonts w:ascii="Times New Roman" w:eastAsia="Times New Roman" w:hAnsi="Times New Roman" w:cs="Times New Roman"/>
          <w:sz w:val="24"/>
          <w:szCs w:val="24"/>
        </w:rPr>
        <w:t xml:space="preserve"> </w:t>
      </w:r>
      <w:r w:rsidR="00C11AD2" w:rsidRPr="009F02FA">
        <w:rPr>
          <w:rFonts w:ascii="Times New Roman" w:eastAsia="Times New Roman" w:hAnsi="Times New Roman" w:cs="Times New Roman"/>
          <w:sz w:val="24"/>
          <w:szCs w:val="24"/>
        </w:rPr>
        <w:t xml:space="preserve">Atılım Üniversitesi, Yükseköğretim Kalite Kurulu 2017 Yılı Dış Değerlendirme sürecine dâhil olmak üzere, 2016 Yılı Kurum İç Değerlendirme Raporu üzerinden ve ilgi değerlendirme takımının Üniversite yerleşkesinde yerinde inceleme ve değerlendirmelerde bulunduğu bir süreç neticesinde ilgi kurumsal geri bildirim raporu ile tespitler iletilmiştir. </w:t>
      </w:r>
      <w:proofErr w:type="gramStart"/>
      <w:r w:rsidR="00C11AD2" w:rsidRPr="009F02FA">
        <w:rPr>
          <w:rFonts w:ascii="Times New Roman" w:eastAsia="Times New Roman" w:hAnsi="Times New Roman" w:cs="Times New Roman"/>
          <w:sz w:val="24"/>
          <w:szCs w:val="24"/>
        </w:rPr>
        <w:t xml:space="preserve">Bu kapsamda, Üniversitenin MÜDEK, FEDEK Kurumsal Değerlendirme ile ilgili süreçleri uzun yıllardan beri sürdürdüğü; Kalite Güvence Sisteminin farkındalığının Üniversite içerisinde oluştuğu; Üniversitenin eğitim birimlerinin, tüm eğitim süreçlerine kalite odaklı bir yaklaşım sergilediği; Üniversite müfredat belirleme ve güncelleme süreçlerinde iç ve dış </w:t>
      </w:r>
      <w:r w:rsidR="00B234F4">
        <w:rPr>
          <w:rFonts w:ascii="Times New Roman" w:eastAsia="Times New Roman" w:hAnsi="Times New Roman" w:cs="Times New Roman"/>
          <w:sz w:val="24"/>
          <w:szCs w:val="24"/>
        </w:rPr>
        <w:t>paydaşları aktif olarak kullan</w:t>
      </w:r>
      <w:r w:rsidR="00C11AD2" w:rsidRPr="009F02FA">
        <w:rPr>
          <w:rFonts w:ascii="Times New Roman" w:eastAsia="Times New Roman" w:hAnsi="Times New Roman" w:cs="Times New Roman"/>
          <w:sz w:val="24"/>
          <w:szCs w:val="24"/>
        </w:rPr>
        <w:t>dığı; yeni eğitim programlarının açılmasında Üniversitenin kendi hedeflerinin yanında, içinde bulunduğu bölgenin ihtiyaçlarını ve taleplerini de dikkate aldığı görülmüş, gözlemlenmiş, rapor edilmiştir.</w:t>
      </w:r>
      <w:proofErr w:type="gramEnd"/>
    </w:p>
    <w:p w:rsidR="004533E0" w:rsidRDefault="004533E0" w:rsidP="004533E0">
      <w:pPr>
        <w:widowControl/>
        <w:spacing w:after="160" w:line="259" w:lineRule="auto"/>
        <w:jc w:val="both"/>
        <w:rPr>
          <w:rFonts w:ascii="Times New Roman" w:eastAsia="Times New Roman" w:hAnsi="Times New Roman" w:cs="Times New Roman"/>
          <w:sz w:val="24"/>
          <w:szCs w:val="24"/>
        </w:rPr>
      </w:pPr>
      <w:r w:rsidRPr="000A7387">
        <w:rPr>
          <w:rFonts w:ascii="Times New Roman" w:eastAsia="Times New Roman" w:hAnsi="Times New Roman" w:cs="Times New Roman"/>
          <w:sz w:val="24"/>
          <w:szCs w:val="24"/>
        </w:rPr>
        <w:t>Atılım Üniversitesi Mezunlar İletişim Ofisi, Atılım Üniversitesi’nden mezun olmuş ve At</w:t>
      </w:r>
      <w:r>
        <w:rPr>
          <w:rFonts w:ascii="Times New Roman" w:eastAsia="Times New Roman" w:hAnsi="Times New Roman" w:cs="Times New Roman"/>
          <w:sz w:val="24"/>
          <w:szCs w:val="24"/>
        </w:rPr>
        <w:t>ı</w:t>
      </w:r>
      <w:r w:rsidRPr="000A7387">
        <w:rPr>
          <w:rFonts w:ascii="Times New Roman" w:eastAsia="Times New Roman" w:hAnsi="Times New Roman" w:cs="Times New Roman"/>
          <w:sz w:val="24"/>
          <w:szCs w:val="24"/>
        </w:rPr>
        <w:t>lım Üniversitesi’nde öğrenim görmeye devam eden tüm bireylerin gelişimlerine katkıda bulunabilmek amacıyla kurulmuştur. Ofis</w:t>
      </w:r>
      <w:r w:rsidRPr="00823F6D">
        <w:rPr>
          <w:rFonts w:ascii="Times New Roman" w:eastAsia="Times New Roman" w:hAnsi="Times New Roman" w:cs="Times New Roman"/>
          <w:sz w:val="24"/>
          <w:szCs w:val="24"/>
        </w:rPr>
        <w:t>, 8000’i</w:t>
      </w:r>
      <w:r w:rsidRPr="000A7387">
        <w:rPr>
          <w:rFonts w:ascii="Times New Roman" w:eastAsia="Times New Roman" w:hAnsi="Times New Roman" w:cs="Times New Roman"/>
          <w:sz w:val="24"/>
          <w:szCs w:val="24"/>
        </w:rPr>
        <w:t xml:space="preserve"> aşkın mezunu ile organik bağ kurmuş olup öncelikli hedefi, mezunlar ile öğrenciler arasındaki iletişimi güçlendirerek, yaşam boyu Atılımlı olma aidiyetini ve ayrıcalığını hissetmelerini sağlamaktır. Atılım Üniversitesi Mezunlar İletişim Ofisi, bu hedef çerçevesinde düzenlediği Kariyer Günleri, Mezunlar Panayırı, Mezunlar Buluşması gibi etkinlikler ile öğrenci ve mezunları bir araya getiren, mezunların </w:t>
      </w:r>
      <w:r w:rsidRPr="000A7387">
        <w:rPr>
          <w:rFonts w:ascii="Times New Roman" w:eastAsia="Times New Roman" w:hAnsi="Times New Roman" w:cs="Times New Roman"/>
          <w:sz w:val="24"/>
          <w:szCs w:val="24"/>
        </w:rPr>
        <w:lastRenderedPageBreak/>
        <w:t>görüş ve geri bildirimini alabildiği sosyal platformlar oluşturmaktadır. Atılım Üniversitesi Mezunlar İletişim Ofisi, mezunlar ile daha sağlıklı iletişim kurmak adına, mezunlarımızın iletişim bilgilerini ve eğitim, meslek, yaşanılan şehir gibi detaylarla üyelik bilgilerini derleyerek, dönem içerisinde mezunları arayarak iletişim bilgilerini günceller ve durumları hakkında bilgi alır. Atılım Üniversitesi Mezunlar İletişim Ofisi, Atılım Üniversitesi Mezunlar Derneği ile de eşgüdüm sağlamak üzere, mezunların Üniversiteye ve öğrencilere dair beklentilerini, görüş ve önerilerini bire bir iletişim ve anket aramaları ile kayıt altına alır.</w:t>
      </w:r>
      <w:r>
        <w:rPr>
          <w:rFonts w:ascii="Times New Roman" w:eastAsia="Times New Roman" w:hAnsi="Times New Roman" w:cs="Times New Roman"/>
          <w:sz w:val="24"/>
          <w:szCs w:val="24"/>
        </w:rPr>
        <w:t xml:space="preserve"> Yürütülen mezunlarla iletişim başlığı altındaki çalışmaların; teknoloji ile bütünleştirilebilmesi ve </w:t>
      </w:r>
      <w:proofErr w:type="gramStart"/>
      <w:r>
        <w:rPr>
          <w:rFonts w:ascii="Times New Roman" w:eastAsia="Times New Roman" w:hAnsi="Times New Roman" w:cs="Times New Roman"/>
          <w:sz w:val="24"/>
          <w:szCs w:val="24"/>
        </w:rPr>
        <w:t>konsolide</w:t>
      </w:r>
      <w:proofErr w:type="gramEnd"/>
      <w:r>
        <w:rPr>
          <w:rFonts w:ascii="Times New Roman" w:eastAsia="Times New Roman" w:hAnsi="Times New Roman" w:cs="Times New Roman"/>
          <w:sz w:val="24"/>
          <w:szCs w:val="24"/>
        </w:rPr>
        <w:t xml:space="preserve"> yönetiminin sağlanabilmesi amacıyla 2019 yılı itibarıyla; MAP – Mezun Atılımlılar Platformu ile ilgili çalışmalar tamamlanmıştır.</w:t>
      </w:r>
      <w:r w:rsidR="00BC7E07">
        <w:rPr>
          <w:rFonts w:ascii="Times New Roman" w:eastAsia="Times New Roman" w:hAnsi="Times New Roman" w:cs="Times New Roman"/>
          <w:sz w:val="24"/>
          <w:szCs w:val="24"/>
        </w:rPr>
        <w:t xml:space="preserve"> </w:t>
      </w:r>
    </w:p>
    <w:p w:rsidR="00BC7E07" w:rsidRDefault="00BC7E07" w:rsidP="004533E0">
      <w:pPr>
        <w:widowControl/>
        <w:spacing w:after="160" w:line="259" w:lineRule="auto"/>
        <w:jc w:val="both"/>
        <w:rPr>
          <w:rFonts w:ascii="Times New Roman" w:eastAsia="Times New Roman" w:hAnsi="Times New Roman" w:cs="Times New Roman"/>
          <w:sz w:val="24"/>
          <w:szCs w:val="24"/>
        </w:rPr>
      </w:pPr>
      <w:r w:rsidRPr="00C45601">
        <w:rPr>
          <w:rFonts w:ascii="Times New Roman" w:eastAsia="Times New Roman" w:hAnsi="Times New Roman" w:cs="Times New Roman"/>
          <w:sz w:val="24"/>
          <w:szCs w:val="24"/>
        </w:rPr>
        <w:t>Kanıt:</w:t>
      </w:r>
      <w:r>
        <w:rPr>
          <w:rFonts w:ascii="Times New Roman" w:eastAsia="Times New Roman" w:hAnsi="Times New Roman" w:cs="Times New Roman"/>
          <w:sz w:val="24"/>
          <w:szCs w:val="24"/>
        </w:rPr>
        <w:t xml:space="preserve"> </w:t>
      </w:r>
      <w:r w:rsidRPr="00BC7E07">
        <w:rPr>
          <w:rFonts w:ascii="Times New Roman" w:eastAsia="Times New Roman" w:hAnsi="Times New Roman" w:cs="Times New Roman"/>
          <w:sz w:val="24"/>
          <w:szCs w:val="24"/>
        </w:rPr>
        <w:t>A.3.1_</w:t>
      </w:r>
      <w:proofErr w:type="gramStart"/>
      <w:r w:rsidRPr="00BC7E07">
        <w:rPr>
          <w:rFonts w:ascii="Times New Roman" w:eastAsia="Times New Roman" w:hAnsi="Times New Roman" w:cs="Times New Roman"/>
          <w:sz w:val="24"/>
          <w:szCs w:val="24"/>
        </w:rPr>
        <w:t>MezunlarlaIletisimveIzlemeMekanizmalari</w:t>
      </w:r>
      <w:r>
        <w:rPr>
          <w:rFonts w:ascii="Times New Roman" w:eastAsia="Times New Roman" w:hAnsi="Times New Roman" w:cs="Times New Roman"/>
          <w:sz w:val="24"/>
          <w:szCs w:val="24"/>
        </w:rPr>
        <w:t>.docx</w:t>
      </w:r>
      <w:proofErr w:type="gramEnd"/>
    </w:p>
    <w:p w:rsidR="00464C7A" w:rsidRDefault="00464C7A" w:rsidP="00464C7A">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13"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452D5D" w:rsidRPr="00E971A5" w:rsidRDefault="00452D5D" w:rsidP="00452D5D">
      <w:pPr>
        <w:pStyle w:val="Balk2"/>
        <w:numPr>
          <w:ilvl w:val="0"/>
          <w:numId w:val="0"/>
        </w:numPr>
        <w:ind w:left="360"/>
      </w:pPr>
      <w:r>
        <w:t xml:space="preserve">A.4. </w:t>
      </w:r>
      <w:proofErr w:type="spellStart"/>
      <w:r>
        <w:t>Uluslararasılaşma</w:t>
      </w:r>
      <w:proofErr w:type="spellEnd"/>
      <w:r w:rsidRPr="00E971A5">
        <w:t xml:space="preserve"> </w:t>
      </w:r>
    </w:p>
    <w:p w:rsidR="008E2E57" w:rsidRPr="009F02FA" w:rsidRDefault="008E2E57" w:rsidP="008E2E57">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 xml:space="preserve">Atılım Üniversitesi için </w:t>
      </w:r>
      <w:proofErr w:type="gramStart"/>
      <w:r>
        <w:rPr>
          <w:rFonts w:ascii="Times New Roman" w:eastAsia="Calibri" w:hAnsi="Times New Roman" w:cs="Times New Roman"/>
          <w:sz w:val="24"/>
        </w:rPr>
        <w:t>misyonu</w:t>
      </w:r>
      <w:proofErr w:type="gramEnd"/>
      <w:r w:rsidRPr="009F02FA">
        <w:rPr>
          <w:rFonts w:ascii="Times New Roman" w:eastAsia="Calibri" w:hAnsi="Times New Roman" w:cs="Times New Roman"/>
          <w:sz w:val="24"/>
        </w:rPr>
        <w:t xml:space="preserve"> “bir dünya üniversitesi olabilme” ve </w:t>
      </w:r>
      <w:r>
        <w:rPr>
          <w:rFonts w:ascii="Times New Roman" w:eastAsia="Calibri" w:hAnsi="Times New Roman" w:cs="Times New Roman"/>
          <w:sz w:val="24"/>
        </w:rPr>
        <w:t>vizyonu</w:t>
      </w:r>
      <w:r w:rsidRPr="009F02FA">
        <w:rPr>
          <w:rFonts w:ascii="Times New Roman" w:eastAsia="Calibri" w:hAnsi="Times New Roman" w:cs="Times New Roman"/>
          <w:sz w:val="24"/>
        </w:rPr>
        <w:t xml:space="preserve"> çerçevesinde “eğitimde ve araştırmada Türkiye'de ilk 10, dünyada ilk 500 üniversite içerisinde sürekli yer almak.” temelinde “</w:t>
      </w:r>
      <w:proofErr w:type="spellStart"/>
      <w:r w:rsidRPr="009F02FA">
        <w:rPr>
          <w:rFonts w:ascii="Times New Roman" w:eastAsia="Calibri" w:hAnsi="Times New Roman" w:cs="Times New Roman"/>
          <w:sz w:val="24"/>
        </w:rPr>
        <w:t>uluslararasılaşma</w:t>
      </w:r>
      <w:proofErr w:type="spellEnd"/>
      <w:r w:rsidRPr="009F02FA">
        <w:rPr>
          <w:rFonts w:ascii="Times New Roman" w:eastAsia="Calibri" w:hAnsi="Times New Roman" w:cs="Times New Roman"/>
          <w:sz w:val="24"/>
        </w:rPr>
        <w:t>” bir stratejik hedeftir.</w:t>
      </w:r>
      <w:r>
        <w:rPr>
          <w:rFonts w:ascii="Times New Roman" w:eastAsia="Calibri" w:hAnsi="Times New Roman" w:cs="Times New Roman"/>
          <w:sz w:val="24"/>
        </w:rPr>
        <w:t xml:space="preserve"> Benzer şekilde 2020-2024 stratejik planı (taslak) içerisinde de bu başlık, </w:t>
      </w:r>
      <w:proofErr w:type="gramStart"/>
      <w:r>
        <w:rPr>
          <w:rFonts w:ascii="Times New Roman" w:eastAsia="Calibri" w:hAnsi="Times New Roman" w:cs="Times New Roman"/>
          <w:sz w:val="24"/>
        </w:rPr>
        <w:t>spesifik</w:t>
      </w:r>
      <w:proofErr w:type="gramEnd"/>
      <w:r>
        <w:rPr>
          <w:rFonts w:ascii="Times New Roman" w:eastAsia="Calibri" w:hAnsi="Times New Roman" w:cs="Times New Roman"/>
          <w:sz w:val="24"/>
        </w:rPr>
        <w:t xml:space="preserve"> bir “stratejik öncelikli alan” olarak tespit edilmiştir.</w:t>
      </w:r>
    </w:p>
    <w:p w:rsidR="008E2E57" w:rsidRPr="009F02FA" w:rsidRDefault="008E2E57" w:rsidP="008E2E57">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 xml:space="preserve">Atılım Üniversitesi’nin temel stratejik hedeflerinden olan </w:t>
      </w:r>
      <w:proofErr w:type="spellStart"/>
      <w:r w:rsidRPr="009F02FA">
        <w:rPr>
          <w:rFonts w:ascii="Times New Roman" w:eastAsia="Calibri" w:hAnsi="Times New Roman" w:cs="Times New Roman"/>
          <w:sz w:val="24"/>
        </w:rPr>
        <w:t>uluslararasılaşma</w:t>
      </w:r>
      <w:proofErr w:type="spellEnd"/>
      <w:r w:rsidRPr="009F02FA">
        <w:rPr>
          <w:rFonts w:ascii="Times New Roman" w:eastAsia="Calibri" w:hAnsi="Times New Roman" w:cs="Times New Roman"/>
          <w:sz w:val="24"/>
        </w:rPr>
        <w:t xml:space="preserve"> çalışmalarına daha fazla katkı sağlamak üzere Uluslararası İlişkiler Direktörlüğü kurulmuştur. Uluslararası İlişkiler Direktörlüğü görev alanı, “Atılım Üniversitesi’nin eğitim, araştırma ve topluma hizmette uluslararası bütünleşmesini artırma çalışmalarına katkı sağlamak” şeklinde tanımlanmıştır.</w:t>
      </w:r>
      <w:r>
        <w:rPr>
          <w:rFonts w:ascii="Times New Roman" w:eastAsia="Calibri" w:hAnsi="Times New Roman" w:cs="Times New Roman"/>
          <w:sz w:val="24"/>
        </w:rPr>
        <w:t xml:space="preserve"> </w:t>
      </w:r>
    </w:p>
    <w:p w:rsidR="008E2E57" w:rsidRPr="009F02FA" w:rsidRDefault="008E2E57" w:rsidP="008E2E57">
      <w:pPr>
        <w:widowControl/>
        <w:spacing w:after="160" w:line="259" w:lineRule="auto"/>
        <w:jc w:val="both"/>
        <w:rPr>
          <w:rFonts w:ascii="Times New Roman" w:eastAsia="Calibri" w:hAnsi="Times New Roman" w:cs="Times New Roman"/>
          <w:sz w:val="24"/>
        </w:rPr>
      </w:pPr>
      <w:proofErr w:type="gramStart"/>
      <w:r w:rsidRPr="009F02FA">
        <w:rPr>
          <w:rFonts w:ascii="Times New Roman" w:eastAsia="Calibri" w:hAnsi="Times New Roman" w:cs="Times New Roman"/>
          <w:sz w:val="24"/>
        </w:rPr>
        <w:t xml:space="preserve">Uluslararası İlişkiler Direktörlüğü, Üniversitenin yurtdışında tanıtılması ve bilinirliğinin artırılması; Üniversitenin uluslararası işbirliklerinin çoğaltılması ve geliştirilmesi; Üniversitede öğrenim görmekte olan uluslararası öğrencilerin sayı ve çeşitliliğinin artırılması; Üniversitede kayıtlı bulunan yerli ve yabancı öğrenciler ile görevli personelin, başta Avrupa Birliği’nin </w:t>
      </w:r>
      <w:proofErr w:type="spellStart"/>
      <w:r w:rsidRPr="00EA3026">
        <w:rPr>
          <w:rFonts w:ascii="Times New Roman" w:eastAsia="Calibri" w:hAnsi="Times New Roman" w:cs="Times New Roman"/>
          <w:sz w:val="24"/>
        </w:rPr>
        <w:t>Erasmus</w:t>
      </w:r>
      <w:proofErr w:type="spellEnd"/>
      <w:r w:rsidRPr="009F02FA">
        <w:rPr>
          <w:rFonts w:ascii="Times New Roman" w:eastAsia="Calibri" w:hAnsi="Times New Roman" w:cs="Times New Roman"/>
          <w:sz w:val="24"/>
        </w:rPr>
        <w:t xml:space="preserve">+ programı olmak üzere, uluslararası değişim programlarından daha fazla yararlandırılmaları; yurtdışından Üniversitemize gelmek isteyen öğrenci ve personelin tüm iş ve işlemlerinin yürütülmesi, gibi temel görevlerini yüksek kalite standartlarında yerine getirmenin yanında, Üniversitenin ve yerleşkenin </w:t>
      </w:r>
      <w:proofErr w:type="spellStart"/>
      <w:r w:rsidRPr="009F02FA">
        <w:rPr>
          <w:rFonts w:ascii="Times New Roman" w:eastAsia="Calibri" w:hAnsi="Times New Roman" w:cs="Times New Roman"/>
          <w:sz w:val="24"/>
        </w:rPr>
        <w:t>uluslarasılaşmasında</w:t>
      </w:r>
      <w:proofErr w:type="spellEnd"/>
      <w:r w:rsidRPr="009F02FA">
        <w:rPr>
          <w:rFonts w:ascii="Times New Roman" w:eastAsia="Calibri" w:hAnsi="Times New Roman" w:cs="Times New Roman"/>
          <w:sz w:val="24"/>
        </w:rPr>
        <w:t xml:space="preserve"> etkin bir rol oynamaktadır.</w:t>
      </w:r>
      <w:r>
        <w:rPr>
          <w:rFonts w:ascii="Times New Roman" w:eastAsia="Calibri" w:hAnsi="Times New Roman" w:cs="Times New Roman"/>
          <w:sz w:val="24"/>
        </w:rPr>
        <w:t xml:space="preserve"> </w:t>
      </w:r>
      <w:proofErr w:type="gramEnd"/>
      <w:r>
        <w:rPr>
          <w:rFonts w:ascii="Times New Roman" w:eastAsia="Calibri" w:hAnsi="Times New Roman" w:cs="Times New Roman"/>
          <w:sz w:val="24"/>
        </w:rPr>
        <w:t>Ayrıca; onay mekanizmaları devam etmekte olan 2020 – 2024 Stratejik Plan çalışmaları içerisinde stratejik öncelikli alan olarak “</w:t>
      </w:r>
      <w:proofErr w:type="spellStart"/>
      <w:r>
        <w:rPr>
          <w:rFonts w:ascii="Times New Roman" w:eastAsia="Calibri" w:hAnsi="Times New Roman" w:cs="Times New Roman"/>
          <w:sz w:val="24"/>
        </w:rPr>
        <w:t>uluslararasılaşma</w:t>
      </w:r>
      <w:proofErr w:type="spellEnd"/>
      <w:r>
        <w:rPr>
          <w:rFonts w:ascii="Times New Roman" w:eastAsia="Calibri" w:hAnsi="Times New Roman" w:cs="Times New Roman"/>
          <w:sz w:val="24"/>
        </w:rPr>
        <w:t>” başlığı belirlenmiş, buna uygun stratejik amaç ve hedeflerle çalışmalar kurumsal izleme ve takip mekanizmalarıyla yönetilmesi hedeflenmiştir.</w:t>
      </w:r>
    </w:p>
    <w:p w:rsidR="008E2E57" w:rsidRPr="009F02FA" w:rsidRDefault="008E2E57" w:rsidP="008E2E57">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 xml:space="preserve">Atılım Üniversitesi, “eğitimde ve araştırmada Türkiye'de ilk 10, dünyada ilk 500 üniversite içerisinde sürekli yer almak.” </w:t>
      </w:r>
      <w:proofErr w:type="gramStart"/>
      <w:r>
        <w:rPr>
          <w:rFonts w:ascii="Times New Roman" w:eastAsia="Calibri" w:hAnsi="Times New Roman" w:cs="Times New Roman"/>
          <w:sz w:val="24"/>
        </w:rPr>
        <w:t>vizyonu</w:t>
      </w:r>
      <w:proofErr w:type="gramEnd"/>
      <w:r w:rsidRPr="009F02FA">
        <w:rPr>
          <w:rFonts w:ascii="Times New Roman" w:eastAsia="Calibri" w:hAnsi="Times New Roman" w:cs="Times New Roman"/>
          <w:sz w:val="24"/>
        </w:rPr>
        <w:t xml:space="preserve"> doğrultusunda dünyada yükseköğretimde gelişen eğilimleri sürekli takip etmekte, bu konuda str</w:t>
      </w:r>
      <w:r>
        <w:rPr>
          <w:rFonts w:ascii="Times New Roman" w:eastAsia="Calibri" w:hAnsi="Times New Roman" w:cs="Times New Roman"/>
          <w:sz w:val="24"/>
        </w:rPr>
        <w:t>atejiler geliştirmektedir.  2019</w:t>
      </w:r>
      <w:r w:rsidRPr="009F02FA">
        <w:rPr>
          <w:rFonts w:ascii="Times New Roman" w:eastAsia="Calibri" w:hAnsi="Times New Roman" w:cs="Times New Roman"/>
          <w:sz w:val="24"/>
        </w:rPr>
        <w:t xml:space="preserve"> yılı içinde ulusal ve uluslararası sıralamalarda başarılar olarak ortaya çıkmaktadır. </w:t>
      </w:r>
    </w:p>
    <w:p w:rsidR="008E2E57" w:rsidRDefault="008E2E57" w:rsidP="008E2E57">
      <w:pPr>
        <w:widowControl/>
        <w:spacing w:after="160" w:line="259" w:lineRule="auto"/>
        <w:jc w:val="both"/>
        <w:rPr>
          <w:rFonts w:ascii="Times New Roman" w:eastAsia="Calibri" w:hAnsi="Times New Roman" w:cs="Times New Roman"/>
          <w:sz w:val="24"/>
        </w:rPr>
      </w:pPr>
      <w:r w:rsidRPr="009F02FA">
        <w:rPr>
          <w:rFonts w:ascii="Times New Roman" w:eastAsia="Calibri" w:hAnsi="Times New Roman" w:cs="Times New Roman"/>
          <w:sz w:val="24"/>
        </w:rPr>
        <w:t xml:space="preserve">Atılım Üniversitesi eğitimde ve kampüs yaşamında çok kültürlü ve katılımcı bir yaklaşımla </w:t>
      </w:r>
      <w:proofErr w:type="spellStart"/>
      <w:r w:rsidRPr="009F02FA">
        <w:rPr>
          <w:rFonts w:ascii="Times New Roman" w:eastAsia="Calibri" w:hAnsi="Times New Roman" w:cs="Times New Roman"/>
          <w:sz w:val="24"/>
        </w:rPr>
        <w:t>uluslararasılaşmayı</w:t>
      </w:r>
      <w:proofErr w:type="spellEnd"/>
      <w:r w:rsidRPr="009F02FA">
        <w:rPr>
          <w:rFonts w:ascii="Times New Roman" w:eastAsia="Calibri" w:hAnsi="Times New Roman" w:cs="Times New Roman"/>
          <w:sz w:val="24"/>
        </w:rPr>
        <w:t xml:space="preserve"> teşvik etmektedir. Avrupa ülkelerinde ve dünyanın diğer bölgelerinde </w:t>
      </w:r>
      <w:r w:rsidRPr="009F02FA">
        <w:rPr>
          <w:rFonts w:ascii="Times New Roman" w:eastAsia="Calibri" w:hAnsi="Times New Roman" w:cs="Times New Roman"/>
          <w:sz w:val="24"/>
        </w:rPr>
        <w:lastRenderedPageBreak/>
        <w:t xml:space="preserve">değişim, staj ve uluslararası hareketlilik programları sunmaktadır. Atılım Üniversitesi'nde Avrupa, Kuzey Amerika, Afrika, Asya, Orta Doğu, Balkanlar, Körfez Bölgesi ve Kafkaslar gibi dünyanın çeşitli bölgelerinden </w:t>
      </w:r>
      <w:r w:rsidR="004C67EE">
        <w:rPr>
          <w:rFonts w:ascii="Times New Roman" w:eastAsia="Calibri" w:hAnsi="Times New Roman" w:cs="Times New Roman"/>
          <w:sz w:val="24"/>
        </w:rPr>
        <w:t>64</w:t>
      </w:r>
      <w:r w:rsidRPr="004C67EE">
        <w:rPr>
          <w:rFonts w:ascii="Times New Roman" w:eastAsia="Calibri" w:hAnsi="Times New Roman" w:cs="Times New Roman"/>
          <w:sz w:val="24"/>
        </w:rPr>
        <w:t xml:space="preserve"> ülkeden uluslararası </w:t>
      </w:r>
      <w:r w:rsidRPr="009F02FA">
        <w:rPr>
          <w:rFonts w:ascii="Times New Roman" w:eastAsia="Calibri" w:hAnsi="Times New Roman" w:cs="Times New Roman"/>
          <w:sz w:val="24"/>
        </w:rPr>
        <w:t xml:space="preserve">öğrenci öğrenim görmektedir. Üniversite, uluslararası alanda tanınmış ve deneyimli akademik ve idari kadroya sahiptir. Akademik programların çoğunluğunda öğrenim dili </w:t>
      </w:r>
      <w:proofErr w:type="spellStart"/>
      <w:r w:rsidRPr="009F02FA">
        <w:rPr>
          <w:rFonts w:ascii="Times New Roman" w:eastAsia="Calibri" w:hAnsi="Times New Roman" w:cs="Times New Roman"/>
          <w:sz w:val="24"/>
        </w:rPr>
        <w:t>İngilizce'dir</w:t>
      </w:r>
      <w:proofErr w:type="spellEnd"/>
      <w:r w:rsidRPr="009F02FA">
        <w:rPr>
          <w:rFonts w:ascii="Times New Roman" w:eastAsia="Calibri" w:hAnsi="Times New Roman" w:cs="Times New Roman"/>
          <w:sz w:val="24"/>
        </w:rPr>
        <w:t>.</w:t>
      </w:r>
      <w:r>
        <w:rPr>
          <w:rFonts w:ascii="Times New Roman" w:eastAsia="Calibri" w:hAnsi="Times New Roman" w:cs="Times New Roman"/>
          <w:sz w:val="24"/>
        </w:rPr>
        <w:t xml:space="preserve"> </w:t>
      </w:r>
    </w:p>
    <w:p w:rsidR="001B4319" w:rsidRDefault="001B4319" w:rsidP="001B4319">
      <w:pPr>
        <w:widowControl/>
        <w:spacing w:after="160" w:line="259" w:lineRule="auto"/>
        <w:jc w:val="both"/>
        <w:rPr>
          <w:rFonts w:ascii="Times New Roman" w:eastAsia="Calibri" w:hAnsi="Times New Roman" w:cs="Times New Roman"/>
          <w:sz w:val="24"/>
        </w:rPr>
      </w:pPr>
      <w:r w:rsidRPr="001B4319">
        <w:rPr>
          <w:rFonts w:ascii="Times New Roman" w:eastAsia="Calibri" w:hAnsi="Times New Roman" w:cs="Times New Roman"/>
          <w:sz w:val="24"/>
        </w:rPr>
        <w:t xml:space="preserve">Atılım Üniversitesi uluslararası işbirliği anlaşmalarında kullanılmak üzere, Üniversite’nin Hukuk Müşavirliği </w:t>
      </w:r>
      <w:r>
        <w:rPr>
          <w:rFonts w:ascii="Times New Roman" w:eastAsia="Calibri" w:hAnsi="Times New Roman" w:cs="Times New Roman"/>
          <w:sz w:val="24"/>
        </w:rPr>
        <w:t>ile birlikte</w:t>
      </w:r>
      <w:r w:rsidRPr="001B4319">
        <w:rPr>
          <w:rFonts w:ascii="Times New Roman" w:eastAsia="Calibri" w:hAnsi="Times New Roman" w:cs="Times New Roman"/>
          <w:sz w:val="24"/>
        </w:rPr>
        <w:t xml:space="preserve"> hazırlanmış ve onaylanmış </w:t>
      </w:r>
      <w:r w:rsidR="000A5C0F">
        <w:rPr>
          <w:rFonts w:ascii="Times New Roman" w:eastAsia="Calibri" w:hAnsi="Times New Roman" w:cs="Times New Roman"/>
          <w:sz w:val="24"/>
        </w:rPr>
        <w:t>“</w:t>
      </w:r>
      <w:r w:rsidRPr="001B4319">
        <w:rPr>
          <w:rFonts w:ascii="Times New Roman" w:eastAsia="Calibri" w:hAnsi="Times New Roman" w:cs="Times New Roman"/>
          <w:sz w:val="24"/>
        </w:rPr>
        <w:t xml:space="preserve">Memorandum of </w:t>
      </w:r>
      <w:proofErr w:type="spellStart"/>
      <w:r w:rsidRPr="001B4319">
        <w:rPr>
          <w:rFonts w:ascii="Times New Roman" w:eastAsia="Calibri" w:hAnsi="Times New Roman" w:cs="Times New Roman"/>
          <w:sz w:val="24"/>
        </w:rPr>
        <w:t>Understanding</w:t>
      </w:r>
      <w:proofErr w:type="spellEnd"/>
      <w:r w:rsidRPr="001B4319">
        <w:rPr>
          <w:rFonts w:ascii="Times New Roman" w:eastAsia="Calibri" w:hAnsi="Times New Roman" w:cs="Times New Roman"/>
          <w:sz w:val="24"/>
        </w:rPr>
        <w:t xml:space="preserve"> </w:t>
      </w:r>
      <w:r w:rsidR="000A5C0F">
        <w:rPr>
          <w:rFonts w:ascii="Times New Roman" w:eastAsia="Calibri" w:hAnsi="Times New Roman" w:cs="Times New Roman"/>
          <w:sz w:val="24"/>
        </w:rPr>
        <w:t>“</w:t>
      </w:r>
      <w:r w:rsidRPr="001B4319">
        <w:rPr>
          <w:rFonts w:ascii="Times New Roman" w:eastAsia="Calibri" w:hAnsi="Times New Roman" w:cs="Times New Roman"/>
          <w:sz w:val="24"/>
        </w:rPr>
        <w:t>(</w:t>
      </w:r>
      <w:proofErr w:type="spellStart"/>
      <w:r w:rsidRPr="001B4319">
        <w:rPr>
          <w:rFonts w:ascii="Times New Roman" w:eastAsia="Calibri" w:hAnsi="Times New Roman" w:cs="Times New Roman"/>
          <w:sz w:val="24"/>
        </w:rPr>
        <w:t>MoU</w:t>
      </w:r>
      <w:proofErr w:type="spellEnd"/>
      <w:r w:rsidRPr="001B4319">
        <w:rPr>
          <w:rFonts w:ascii="Times New Roman" w:eastAsia="Calibri" w:hAnsi="Times New Roman" w:cs="Times New Roman"/>
          <w:sz w:val="24"/>
        </w:rPr>
        <w:t xml:space="preserve">)’e sahiptir. </w:t>
      </w:r>
      <w:proofErr w:type="spellStart"/>
      <w:r w:rsidRPr="001B4319">
        <w:rPr>
          <w:rFonts w:ascii="Times New Roman" w:eastAsia="Calibri" w:hAnsi="Times New Roman" w:cs="Times New Roman"/>
          <w:sz w:val="24"/>
        </w:rPr>
        <w:t>MoU</w:t>
      </w:r>
      <w:proofErr w:type="spellEnd"/>
      <w:r w:rsidRPr="001B4319">
        <w:rPr>
          <w:rFonts w:ascii="Times New Roman" w:eastAsia="Calibri" w:hAnsi="Times New Roman" w:cs="Times New Roman"/>
          <w:sz w:val="24"/>
        </w:rPr>
        <w:t xml:space="preserve"> ekli dosyada ayrıca sunulmuştur. Ayrıca </w:t>
      </w:r>
      <w:proofErr w:type="spellStart"/>
      <w:r w:rsidRPr="001B4319">
        <w:rPr>
          <w:rFonts w:ascii="Times New Roman" w:eastAsia="Calibri" w:hAnsi="Times New Roman" w:cs="Times New Roman"/>
          <w:sz w:val="24"/>
        </w:rPr>
        <w:t>Erasmus</w:t>
      </w:r>
      <w:proofErr w:type="spellEnd"/>
      <w:r w:rsidRPr="001B4319">
        <w:rPr>
          <w:rFonts w:ascii="Times New Roman" w:eastAsia="Calibri" w:hAnsi="Times New Roman" w:cs="Times New Roman"/>
          <w:sz w:val="24"/>
        </w:rPr>
        <w:t xml:space="preserve">+ anlaşmalarında kullanılmak üzere, AB tarafından hazırlanan matbu </w:t>
      </w:r>
      <w:proofErr w:type="spellStart"/>
      <w:r w:rsidRPr="001B4319">
        <w:rPr>
          <w:rFonts w:ascii="Times New Roman" w:eastAsia="Calibri" w:hAnsi="Times New Roman" w:cs="Times New Roman"/>
          <w:sz w:val="24"/>
        </w:rPr>
        <w:t>Erasmus</w:t>
      </w:r>
      <w:proofErr w:type="spellEnd"/>
      <w:r w:rsidRPr="001B4319">
        <w:rPr>
          <w:rFonts w:ascii="Times New Roman" w:eastAsia="Calibri" w:hAnsi="Times New Roman" w:cs="Times New Roman"/>
          <w:sz w:val="24"/>
        </w:rPr>
        <w:t xml:space="preserve">+ ikili anlaşma metni kullanılmaktadır. 2019 yılı boyunca Atılım Üniversitesi; 10’dan fazla </w:t>
      </w:r>
      <w:proofErr w:type="spellStart"/>
      <w:r w:rsidRPr="001B4319">
        <w:rPr>
          <w:rFonts w:ascii="Times New Roman" w:eastAsia="Calibri" w:hAnsi="Times New Roman" w:cs="Times New Roman"/>
          <w:sz w:val="24"/>
        </w:rPr>
        <w:t>MoU</w:t>
      </w:r>
      <w:proofErr w:type="spellEnd"/>
      <w:r w:rsidRPr="001B4319">
        <w:rPr>
          <w:rFonts w:ascii="Times New Roman" w:eastAsia="Calibri" w:hAnsi="Times New Roman" w:cs="Times New Roman"/>
          <w:sz w:val="24"/>
        </w:rPr>
        <w:t xml:space="preserve"> anlaşmasına ve 20’den fazla </w:t>
      </w:r>
      <w:proofErr w:type="spellStart"/>
      <w:r w:rsidRPr="001B4319">
        <w:rPr>
          <w:rFonts w:ascii="Times New Roman" w:eastAsia="Calibri" w:hAnsi="Times New Roman" w:cs="Times New Roman"/>
          <w:sz w:val="24"/>
        </w:rPr>
        <w:t>Erasmus</w:t>
      </w:r>
      <w:proofErr w:type="spellEnd"/>
      <w:r w:rsidRPr="001B4319">
        <w:rPr>
          <w:rFonts w:ascii="Times New Roman" w:eastAsia="Calibri" w:hAnsi="Times New Roman" w:cs="Times New Roman"/>
          <w:sz w:val="24"/>
        </w:rPr>
        <w:t>+ anlaşmasına imza atmıştır.</w:t>
      </w:r>
      <w:r w:rsidR="00962404">
        <w:rPr>
          <w:rFonts w:ascii="Times New Roman" w:eastAsia="Calibri" w:hAnsi="Times New Roman" w:cs="Times New Roman"/>
          <w:sz w:val="24"/>
        </w:rPr>
        <w:t xml:space="preserve"> </w:t>
      </w:r>
      <w:r w:rsidR="00DA3674">
        <w:rPr>
          <w:rFonts w:ascii="Times New Roman" w:eastAsia="Calibri" w:hAnsi="Times New Roman" w:cs="Times New Roman"/>
          <w:sz w:val="24"/>
        </w:rPr>
        <w:t xml:space="preserve">Üniversitemizin aktif uluslararası anlaşmalarına dair </w:t>
      </w:r>
      <w:hyperlink r:id="rId14" w:history="1">
        <w:r w:rsidR="00DA3674" w:rsidRPr="00DA3674">
          <w:rPr>
            <w:rStyle w:val="Kpr"/>
            <w:rFonts w:ascii="Times New Roman" w:eastAsia="Calibri" w:hAnsi="Times New Roman" w:cs="Times New Roman"/>
            <w:sz w:val="24"/>
          </w:rPr>
          <w:t>detay ve güncel liste</w:t>
        </w:r>
      </w:hyperlink>
      <w:r w:rsidR="00DA3674">
        <w:rPr>
          <w:rFonts w:ascii="Times New Roman" w:eastAsia="Calibri" w:hAnsi="Times New Roman" w:cs="Times New Roman"/>
          <w:sz w:val="24"/>
        </w:rPr>
        <w:t xml:space="preserve"> erişime açıktır.</w:t>
      </w:r>
    </w:p>
    <w:p w:rsidR="00962404" w:rsidRPr="00C45601" w:rsidRDefault="00962404" w:rsidP="001B4319">
      <w:pPr>
        <w:widowControl/>
        <w:spacing w:after="160" w:line="259" w:lineRule="auto"/>
        <w:jc w:val="both"/>
        <w:rPr>
          <w:rFonts w:ascii="Times New Roman" w:eastAsia="Calibri" w:hAnsi="Times New Roman" w:cs="Times New Roman"/>
          <w:sz w:val="18"/>
        </w:rPr>
      </w:pPr>
      <w:r w:rsidRPr="00C45601">
        <w:rPr>
          <w:rFonts w:ascii="Times New Roman" w:eastAsia="Calibri" w:hAnsi="Times New Roman" w:cs="Times New Roman"/>
          <w:sz w:val="18"/>
        </w:rPr>
        <w:t xml:space="preserve">Kanıt: A.4.1_AtilimUniversity </w:t>
      </w:r>
      <w:proofErr w:type="spellStart"/>
      <w:r w:rsidRPr="00C45601">
        <w:rPr>
          <w:rFonts w:ascii="Times New Roman" w:eastAsia="Calibri" w:hAnsi="Times New Roman" w:cs="Times New Roman"/>
          <w:sz w:val="18"/>
        </w:rPr>
        <w:t>and</w:t>
      </w:r>
      <w:proofErr w:type="spellEnd"/>
      <w:r w:rsidRPr="00C45601">
        <w:rPr>
          <w:rFonts w:ascii="Times New Roman" w:eastAsia="Calibri" w:hAnsi="Times New Roman" w:cs="Times New Roman"/>
          <w:sz w:val="18"/>
        </w:rPr>
        <w:t xml:space="preserve"> </w:t>
      </w:r>
      <w:proofErr w:type="spellStart"/>
      <w:r w:rsidRPr="00C45601">
        <w:rPr>
          <w:rFonts w:ascii="Times New Roman" w:eastAsia="Calibri" w:hAnsi="Times New Roman" w:cs="Times New Roman"/>
          <w:sz w:val="18"/>
        </w:rPr>
        <w:t>University</w:t>
      </w:r>
      <w:proofErr w:type="spellEnd"/>
      <w:r w:rsidRPr="00C45601">
        <w:rPr>
          <w:rFonts w:ascii="Times New Roman" w:eastAsia="Calibri" w:hAnsi="Times New Roman" w:cs="Times New Roman"/>
          <w:sz w:val="18"/>
        </w:rPr>
        <w:t xml:space="preserve"> of Piraeus_MoU_</w:t>
      </w:r>
      <w:proofErr w:type="gramStart"/>
      <w:r w:rsidRPr="00C45601">
        <w:rPr>
          <w:rFonts w:ascii="Times New Roman" w:eastAsia="Calibri" w:hAnsi="Times New Roman" w:cs="Times New Roman"/>
          <w:sz w:val="18"/>
        </w:rPr>
        <w:t>ornegi.pdf</w:t>
      </w:r>
      <w:proofErr w:type="gramEnd"/>
    </w:p>
    <w:p w:rsidR="00962404" w:rsidRPr="00C45601" w:rsidRDefault="00962404" w:rsidP="001B4319">
      <w:pPr>
        <w:widowControl/>
        <w:spacing w:after="160" w:line="259" w:lineRule="auto"/>
        <w:jc w:val="both"/>
        <w:rPr>
          <w:rFonts w:ascii="Times New Roman" w:eastAsia="Calibri" w:hAnsi="Times New Roman" w:cs="Times New Roman"/>
          <w:sz w:val="18"/>
        </w:rPr>
      </w:pPr>
      <w:r w:rsidRPr="00C45601">
        <w:rPr>
          <w:rFonts w:ascii="Times New Roman" w:eastAsia="Calibri" w:hAnsi="Times New Roman" w:cs="Times New Roman"/>
          <w:sz w:val="18"/>
        </w:rPr>
        <w:t xml:space="preserve">Kanıt: A.4.1_Erasmus </w:t>
      </w:r>
      <w:proofErr w:type="spellStart"/>
      <w:r w:rsidRPr="00C45601">
        <w:rPr>
          <w:rFonts w:ascii="Times New Roman" w:eastAsia="Calibri" w:hAnsi="Times New Roman" w:cs="Times New Roman"/>
          <w:sz w:val="18"/>
        </w:rPr>
        <w:t>Agreement_AtilimUniversity</w:t>
      </w:r>
      <w:proofErr w:type="spellEnd"/>
      <w:r w:rsidRPr="00C45601">
        <w:rPr>
          <w:rFonts w:ascii="Times New Roman" w:eastAsia="Calibri" w:hAnsi="Times New Roman" w:cs="Times New Roman"/>
          <w:sz w:val="18"/>
        </w:rPr>
        <w:t xml:space="preserve"> </w:t>
      </w:r>
      <w:proofErr w:type="spellStart"/>
      <w:r w:rsidRPr="00C45601">
        <w:rPr>
          <w:rFonts w:ascii="Times New Roman" w:eastAsia="Calibri" w:hAnsi="Times New Roman" w:cs="Times New Roman"/>
          <w:sz w:val="18"/>
        </w:rPr>
        <w:t>and</w:t>
      </w:r>
      <w:proofErr w:type="spellEnd"/>
      <w:r w:rsidRPr="00C45601">
        <w:rPr>
          <w:rFonts w:ascii="Times New Roman" w:eastAsia="Calibri" w:hAnsi="Times New Roman" w:cs="Times New Roman"/>
          <w:sz w:val="18"/>
        </w:rPr>
        <w:t xml:space="preserve"> </w:t>
      </w:r>
      <w:proofErr w:type="spellStart"/>
      <w:r w:rsidRPr="00C45601">
        <w:rPr>
          <w:rFonts w:ascii="Times New Roman" w:eastAsia="Calibri" w:hAnsi="Times New Roman" w:cs="Times New Roman"/>
          <w:sz w:val="18"/>
        </w:rPr>
        <w:t>University</w:t>
      </w:r>
      <w:proofErr w:type="spellEnd"/>
      <w:r w:rsidRPr="00C45601">
        <w:rPr>
          <w:rFonts w:ascii="Times New Roman" w:eastAsia="Calibri" w:hAnsi="Times New Roman" w:cs="Times New Roman"/>
          <w:sz w:val="18"/>
        </w:rPr>
        <w:t xml:space="preserve"> of </w:t>
      </w:r>
      <w:proofErr w:type="gramStart"/>
      <w:r w:rsidRPr="00C45601">
        <w:rPr>
          <w:rFonts w:ascii="Times New Roman" w:eastAsia="Calibri" w:hAnsi="Times New Roman" w:cs="Times New Roman"/>
          <w:sz w:val="18"/>
        </w:rPr>
        <w:t>Piraeus.pdf</w:t>
      </w:r>
      <w:proofErr w:type="gramEnd"/>
    </w:p>
    <w:p w:rsidR="00962404" w:rsidRPr="00C45601" w:rsidRDefault="00962404" w:rsidP="00962404">
      <w:pPr>
        <w:widowControl/>
        <w:spacing w:after="160" w:line="259" w:lineRule="auto"/>
        <w:jc w:val="both"/>
        <w:rPr>
          <w:rFonts w:ascii="Times New Roman" w:eastAsia="Calibri" w:hAnsi="Times New Roman" w:cs="Times New Roman"/>
          <w:sz w:val="24"/>
        </w:rPr>
      </w:pPr>
      <w:r w:rsidRPr="00C45601">
        <w:rPr>
          <w:rFonts w:ascii="Times New Roman" w:eastAsia="Calibri" w:hAnsi="Times New Roman" w:cs="Times New Roman"/>
          <w:sz w:val="24"/>
        </w:rPr>
        <w:t xml:space="preserve">Uluslararası protokol ve iş birliği uygulamaları, </w:t>
      </w:r>
      <w:proofErr w:type="spellStart"/>
      <w:r w:rsidRPr="00C45601">
        <w:rPr>
          <w:rFonts w:ascii="Times New Roman" w:eastAsia="Calibri" w:hAnsi="Times New Roman" w:cs="Times New Roman"/>
          <w:sz w:val="24"/>
        </w:rPr>
        <w:t>uluslararasılaşma</w:t>
      </w:r>
      <w:proofErr w:type="spellEnd"/>
      <w:r w:rsidRPr="00C45601">
        <w:rPr>
          <w:rFonts w:ascii="Times New Roman" w:eastAsia="Calibri" w:hAnsi="Times New Roman" w:cs="Times New Roman"/>
          <w:sz w:val="24"/>
        </w:rPr>
        <w:t xml:space="preserve"> politikalarına ilişkin göstergelerin izlenmesi ve değerlendirilmesine ilişkin Atılım Üniversitesi bünyesinde Uluslararası İşbirliği ve Strateji Belirleme Komitesi kurulmuştur. Komite üyeleri; Rektör Yardımcısı Sn. Prof. Dr. Serkan ERYILMAZ, Uluslararası İlişkiler Vekil Direktörü Sn. M. Hasan ATASOY ve </w:t>
      </w:r>
      <w:proofErr w:type="spellStart"/>
      <w:r w:rsidRPr="00C45601">
        <w:rPr>
          <w:rFonts w:ascii="Times New Roman" w:eastAsia="Calibri" w:hAnsi="Times New Roman" w:cs="Times New Roman"/>
          <w:sz w:val="24"/>
        </w:rPr>
        <w:t>Erasmus</w:t>
      </w:r>
      <w:proofErr w:type="spellEnd"/>
      <w:r w:rsidRPr="00C45601">
        <w:rPr>
          <w:rFonts w:ascii="Times New Roman" w:eastAsia="Calibri" w:hAnsi="Times New Roman" w:cs="Times New Roman"/>
          <w:sz w:val="24"/>
        </w:rPr>
        <w:t xml:space="preserve">+ Kurum Koordinatörü Sn. Özgün ÖZGER. Komite düzenli olarak bir araya gelmekte ve mevcut uluslararası anlaşmaların aktif olarak uygulanması ve gelecekte yapılacak uluslararası anlaşmalar noktasında kararlar almaktadır. </w:t>
      </w:r>
    </w:p>
    <w:p w:rsidR="00323AF5" w:rsidRPr="00323AF5" w:rsidRDefault="00323AF5" w:rsidP="00962404">
      <w:pPr>
        <w:widowControl/>
        <w:spacing w:after="160" w:line="259" w:lineRule="auto"/>
        <w:jc w:val="both"/>
        <w:rPr>
          <w:rFonts w:ascii="Times New Roman" w:eastAsia="Calibri" w:hAnsi="Times New Roman" w:cs="Times New Roman"/>
          <w:sz w:val="20"/>
        </w:rPr>
      </w:pPr>
      <w:r w:rsidRPr="00C45601">
        <w:rPr>
          <w:rFonts w:ascii="Times New Roman" w:eastAsia="Calibri" w:hAnsi="Times New Roman" w:cs="Times New Roman"/>
          <w:sz w:val="20"/>
        </w:rPr>
        <w:t>Kanıt: A.4.</w:t>
      </w:r>
      <w:bookmarkStart w:id="9" w:name="_GoBack"/>
      <w:bookmarkEnd w:id="9"/>
      <w:r w:rsidRPr="00323AF5">
        <w:rPr>
          <w:rFonts w:ascii="Times New Roman" w:eastAsia="Calibri" w:hAnsi="Times New Roman" w:cs="Times New Roman"/>
          <w:sz w:val="20"/>
        </w:rPr>
        <w:t>1_Uluslararası İşbirliği ve Strateji Belirleme Komitesi_</w:t>
      </w:r>
      <w:proofErr w:type="gramStart"/>
      <w:r w:rsidRPr="00323AF5">
        <w:rPr>
          <w:rFonts w:ascii="Times New Roman" w:eastAsia="Calibri" w:hAnsi="Times New Roman" w:cs="Times New Roman"/>
          <w:sz w:val="20"/>
        </w:rPr>
        <w:t>Sunum.pptx</w:t>
      </w:r>
      <w:proofErr w:type="gramEnd"/>
    </w:p>
    <w:p w:rsidR="00962404" w:rsidRDefault="00962404" w:rsidP="00962404">
      <w:pPr>
        <w:widowControl/>
        <w:spacing w:after="160" w:line="259" w:lineRule="auto"/>
        <w:jc w:val="both"/>
        <w:rPr>
          <w:rFonts w:ascii="Times New Roman" w:eastAsia="Calibri" w:hAnsi="Times New Roman" w:cs="Times New Roman"/>
          <w:sz w:val="24"/>
        </w:rPr>
      </w:pPr>
      <w:r w:rsidRPr="00962404">
        <w:rPr>
          <w:rFonts w:ascii="Times New Roman" w:eastAsia="Calibri" w:hAnsi="Times New Roman" w:cs="Times New Roman"/>
          <w:sz w:val="24"/>
        </w:rPr>
        <w:t xml:space="preserve">Uluslararası İlişkiler Direktörlüğü 2019 yılı boyunca uluslararası öğrenci temini için 7 eğitim fuarına katılım sağlamıştır. Bu fuarların gerçekleştiği ülkeler; Kazakistan, Almanya, Hollanda, Azerbaycan, Irak, Tunus. Aktif olarak katılım sağlanan fuarlar ve diğer tanıtım araçları neticesinde Atılım Üniversitesi 2019 yılında 300 civarında uluslararası öğrenciyi bünyesine kazandırmıştır. Bunun dışında uluslararası işbirliği anlaşmaları için 2 ayrı eğitim zirvesine katılım sağlanmıştır. Bunlar Washington’da gerçekleştirilen NAFSA, 2019 ve İstanbul’da gerçekleştirilen EURIE, 2019 fuarlarıdır. Bu fuarlar neticesinde Atılım Üniversitesi </w:t>
      </w:r>
      <w:proofErr w:type="spellStart"/>
      <w:r w:rsidRPr="00962404">
        <w:rPr>
          <w:rFonts w:ascii="Times New Roman" w:eastAsia="Calibri" w:hAnsi="Times New Roman" w:cs="Times New Roman"/>
          <w:sz w:val="24"/>
        </w:rPr>
        <w:t>Erasmus</w:t>
      </w:r>
      <w:proofErr w:type="spellEnd"/>
      <w:r w:rsidRPr="00962404">
        <w:rPr>
          <w:rFonts w:ascii="Times New Roman" w:eastAsia="Calibri" w:hAnsi="Times New Roman" w:cs="Times New Roman"/>
          <w:sz w:val="24"/>
        </w:rPr>
        <w:t xml:space="preserve">+ ve </w:t>
      </w:r>
      <w:proofErr w:type="spellStart"/>
      <w:r w:rsidRPr="00962404">
        <w:rPr>
          <w:rFonts w:ascii="Times New Roman" w:eastAsia="Calibri" w:hAnsi="Times New Roman" w:cs="Times New Roman"/>
          <w:sz w:val="24"/>
        </w:rPr>
        <w:t>MoU</w:t>
      </w:r>
      <w:proofErr w:type="spellEnd"/>
      <w:r w:rsidRPr="00962404">
        <w:rPr>
          <w:rFonts w:ascii="Times New Roman" w:eastAsia="Calibri" w:hAnsi="Times New Roman" w:cs="Times New Roman"/>
          <w:sz w:val="24"/>
        </w:rPr>
        <w:t xml:space="preserve"> anlaşma sayılarını artırmıştır.</w:t>
      </w:r>
    </w:p>
    <w:p w:rsidR="00667366" w:rsidRDefault="00667366" w:rsidP="00667366">
      <w:pPr>
        <w:widowControl/>
        <w:spacing w:after="160" w:line="259" w:lineRule="auto"/>
        <w:jc w:val="both"/>
        <w:rPr>
          <w:rFonts w:ascii="Times New Roman" w:eastAsia="Calibri" w:hAnsi="Times New Roman" w:cs="Times New Roman"/>
          <w:sz w:val="24"/>
        </w:rPr>
      </w:pPr>
      <w:proofErr w:type="spellStart"/>
      <w:r w:rsidRPr="00667366">
        <w:rPr>
          <w:rFonts w:ascii="Times New Roman" w:eastAsia="Calibri" w:hAnsi="Times New Roman" w:cs="Times New Roman"/>
          <w:sz w:val="24"/>
        </w:rPr>
        <w:t>Uluslararasılaşma</w:t>
      </w:r>
      <w:proofErr w:type="spellEnd"/>
      <w:r w:rsidRPr="00667366">
        <w:rPr>
          <w:rFonts w:ascii="Times New Roman" w:eastAsia="Calibri" w:hAnsi="Times New Roman" w:cs="Times New Roman"/>
          <w:sz w:val="24"/>
        </w:rPr>
        <w:t xml:space="preserve"> süreçleri Atılım Üniversitesi Uluslararası İlişkiler Direktörlüğü bünyesinde yürütülmektedir. Uluslararası İlişkiler Direktörlüğü; Uluslararası Öğrenci Kaynakları Ofisi ve Değişim ve Uluslararası Hareketlilik Ofisi olmak üzere 2 ofisten oluşmaktadır. Uluslararası Öğrenci Kaynakları Ofisi; yılda 2 dönem öğrenci alımı, acente, referans öğrenci vb. süreçlerin yönetiminden sorumludur. Uluslararası öğrenci alımındaki süreçler şu şekildedir; adaylara ulaşma (fuarlar, acenteler, dijital mecrada reklam, büyükelçilikler), başvuruların alınması, değerlendirme ve kabul süreci, şartlı kabul-depozito alma, kayıt. Değişim ve Uluslararası Hareketlilik Ofisi; </w:t>
      </w:r>
      <w:proofErr w:type="spellStart"/>
      <w:r w:rsidRPr="00667366">
        <w:rPr>
          <w:rFonts w:ascii="Times New Roman" w:eastAsia="Calibri" w:hAnsi="Times New Roman" w:cs="Times New Roman"/>
          <w:sz w:val="24"/>
        </w:rPr>
        <w:t>Erasmus</w:t>
      </w:r>
      <w:proofErr w:type="spellEnd"/>
      <w:r w:rsidRPr="00667366">
        <w:rPr>
          <w:rFonts w:ascii="Times New Roman" w:eastAsia="Calibri" w:hAnsi="Times New Roman" w:cs="Times New Roman"/>
          <w:sz w:val="24"/>
        </w:rPr>
        <w:t xml:space="preserve">+ başta olmak üzere uluslararası hareketliliği artırma, uluslararası işbirliği anlaşmaları süreçlerinden sorumludur. Uluslararası İlişkiler Direktörlüğü dışında ayrıca yukarıda belirtilen Uluslararası İşbirliği ve Strateji Belirleme Komitesi </w:t>
      </w:r>
      <w:proofErr w:type="spellStart"/>
      <w:r w:rsidRPr="00667366">
        <w:rPr>
          <w:rFonts w:ascii="Times New Roman" w:eastAsia="Calibri" w:hAnsi="Times New Roman" w:cs="Times New Roman"/>
          <w:sz w:val="24"/>
        </w:rPr>
        <w:t>uluslararasılaşma</w:t>
      </w:r>
      <w:proofErr w:type="spellEnd"/>
      <w:r w:rsidRPr="00667366">
        <w:rPr>
          <w:rFonts w:ascii="Times New Roman" w:eastAsia="Calibri" w:hAnsi="Times New Roman" w:cs="Times New Roman"/>
          <w:sz w:val="24"/>
        </w:rPr>
        <w:t xml:space="preserve"> süreçlerinden sorumludur.</w:t>
      </w:r>
    </w:p>
    <w:p w:rsidR="00667366" w:rsidRPr="00667366" w:rsidRDefault="00667366" w:rsidP="00667366">
      <w:pPr>
        <w:widowControl/>
        <w:spacing w:after="160" w:line="259" w:lineRule="auto"/>
        <w:jc w:val="both"/>
        <w:rPr>
          <w:rFonts w:ascii="Times New Roman" w:eastAsia="Calibri" w:hAnsi="Times New Roman" w:cs="Times New Roman"/>
          <w:sz w:val="24"/>
        </w:rPr>
      </w:pPr>
      <w:r w:rsidRPr="00667366">
        <w:rPr>
          <w:rFonts w:ascii="Times New Roman" w:eastAsia="Calibri" w:hAnsi="Times New Roman" w:cs="Times New Roman"/>
          <w:sz w:val="24"/>
        </w:rPr>
        <w:t xml:space="preserve">Atılım Üniversitesi’nde </w:t>
      </w:r>
      <w:proofErr w:type="spellStart"/>
      <w:r w:rsidRPr="00667366">
        <w:rPr>
          <w:rFonts w:ascii="Times New Roman" w:eastAsia="Calibri" w:hAnsi="Times New Roman" w:cs="Times New Roman"/>
          <w:sz w:val="24"/>
        </w:rPr>
        <w:t>Erasmus</w:t>
      </w:r>
      <w:proofErr w:type="spellEnd"/>
      <w:r w:rsidRPr="00667366">
        <w:rPr>
          <w:rFonts w:ascii="Times New Roman" w:eastAsia="Calibri" w:hAnsi="Times New Roman" w:cs="Times New Roman"/>
          <w:sz w:val="24"/>
        </w:rPr>
        <w:t xml:space="preserve">+ süreci Uluslararası İlişkiler Direktörlüğü’ne bağlı olan Değişim ve Uluslararası Hareketlilik Ofisi bünyesinde yürütülmektedir. Atılım Üniversitesi’nin </w:t>
      </w:r>
      <w:r w:rsidRPr="00667366">
        <w:rPr>
          <w:rFonts w:ascii="Times New Roman" w:eastAsia="Calibri" w:hAnsi="Times New Roman" w:cs="Times New Roman"/>
          <w:sz w:val="24"/>
        </w:rPr>
        <w:lastRenderedPageBreak/>
        <w:t xml:space="preserve">2019 sözleşme yılına ait hak edilen </w:t>
      </w:r>
      <w:proofErr w:type="spellStart"/>
      <w:r w:rsidRPr="00667366">
        <w:rPr>
          <w:rFonts w:ascii="Times New Roman" w:eastAsia="Calibri" w:hAnsi="Times New Roman" w:cs="Times New Roman"/>
          <w:sz w:val="24"/>
        </w:rPr>
        <w:t>Erasmus</w:t>
      </w:r>
      <w:proofErr w:type="spellEnd"/>
      <w:r w:rsidRPr="00667366">
        <w:rPr>
          <w:rFonts w:ascii="Times New Roman" w:eastAsia="Calibri" w:hAnsi="Times New Roman" w:cs="Times New Roman"/>
          <w:sz w:val="24"/>
        </w:rPr>
        <w:t xml:space="preserve"> bütçesi, yapılacak olan ek bütçe talepleri hariç, 93.300,00 Euro’dur. 31.05.2021 yılında sona erecek 2019 projesi kapsamında; 11 personel ve 41 öğrencinin </w:t>
      </w:r>
      <w:proofErr w:type="spellStart"/>
      <w:r w:rsidRPr="00667366">
        <w:rPr>
          <w:rFonts w:ascii="Times New Roman" w:eastAsia="Calibri" w:hAnsi="Times New Roman" w:cs="Times New Roman"/>
          <w:sz w:val="24"/>
        </w:rPr>
        <w:t>Erasmus</w:t>
      </w:r>
      <w:proofErr w:type="spellEnd"/>
      <w:r w:rsidRPr="00667366">
        <w:rPr>
          <w:rFonts w:ascii="Times New Roman" w:eastAsia="Calibri" w:hAnsi="Times New Roman" w:cs="Times New Roman"/>
          <w:sz w:val="24"/>
        </w:rPr>
        <w:t>+ hareketliliğinden hibeli olarak faydalandırılması planlanmaktadır</w:t>
      </w:r>
      <w:r>
        <w:rPr>
          <w:rFonts w:ascii="Times New Roman" w:eastAsia="Calibri" w:hAnsi="Times New Roman" w:cs="Times New Roman"/>
          <w:sz w:val="24"/>
        </w:rPr>
        <w:t xml:space="preserve"> </w:t>
      </w:r>
      <w:r w:rsidRPr="00667366">
        <w:rPr>
          <w:rFonts w:ascii="Times New Roman" w:eastAsia="Calibri" w:hAnsi="Times New Roman" w:cs="Times New Roman"/>
          <w:sz w:val="24"/>
        </w:rPr>
        <w:t>(</w:t>
      </w:r>
      <w:proofErr w:type="spellStart"/>
      <w:r w:rsidRPr="00667366">
        <w:rPr>
          <w:rFonts w:ascii="Times New Roman" w:eastAsia="Calibri" w:hAnsi="Times New Roman" w:cs="Times New Roman"/>
          <w:sz w:val="24"/>
        </w:rPr>
        <w:t>Hibesiz</w:t>
      </w:r>
      <w:proofErr w:type="spellEnd"/>
      <w:r w:rsidRPr="00667366">
        <w:rPr>
          <w:rFonts w:ascii="Times New Roman" w:eastAsia="Calibri" w:hAnsi="Times New Roman" w:cs="Times New Roman"/>
          <w:sz w:val="24"/>
        </w:rPr>
        <w:t xml:space="preserve"> hareketlilikler bu sayıya </w:t>
      </w:r>
      <w:proofErr w:type="gramStart"/>
      <w:r w:rsidRPr="00667366">
        <w:rPr>
          <w:rFonts w:ascii="Times New Roman" w:eastAsia="Calibri" w:hAnsi="Times New Roman" w:cs="Times New Roman"/>
          <w:sz w:val="24"/>
        </w:rPr>
        <w:t>dahil</w:t>
      </w:r>
      <w:proofErr w:type="gramEnd"/>
      <w:r w:rsidRPr="00667366">
        <w:rPr>
          <w:rFonts w:ascii="Times New Roman" w:eastAsia="Calibri" w:hAnsi="Times New Roman" w:cs="Times New Roman"/>
          <w:sz w:val="24"/>
        </w:rPr>
        <w:t xml:space="preserve"> değildir.) Atılım Üniversitesi son yıllarda </w:t>
      </w:r>
      <w:proofErr w:type="spellStart"/>
      <w:r w:rsidRPr="00667366">
        <w:rPr>
          <w:rFonts w:ascii="Times New Roman" w:eastAsia="Calibri" w:hAnsi="Times New Roman" w:cs="Times New Roman"/>
          <w:sz w:val="24"/>
        </w:rPr>
        <w:t>Erasmus</w:t>
      </w:r>
      <w:proofErr w:type="spellEnd"/>
      <w:r w:rsidRPr="00667366">
        <w:rPr>
          <w:rFonts w:ascii="Times New Roman" w:eastAsia="Calibri" w:hAnsi="Times New Roman" w:cs="Times New Roman"/>
          <w:sz w:val="24"/>
        </w:rPr>
        <w:t xml:space="preserve">+ bütçesini %100’e yakın oranda kullanmakta olup, hibe iadesi yapmamaktadır. Aksine, ara rapor dönemlerinde ek bütçe talebinde bulunmakta ve ek bütçe almaya hak kazanmaktadır. </w:t>
      </w:r>
    </w:p>
    <w:p w:rsidR="00E83E06" w:rsidRDefault="003071B5" w:rsidP="00E47E87">
      <w:pPr>
        <w:spacing w:after="160" w:line="259" w:lineRule="auto"/>
        <w:jc w:val="both"/>
        <w:rPr>
          <w:rFonts w:ascii="Times New Roman" w:eastAsia="Calibri" w:hAnsi="Times New Roman" w:cs="Times New Roman"/>
          <w:sz w:val="24"/>
        </w:rPr>
      </w:pPr>
      <w:r>
        <w:rPr>
          <w:rFonts w:ascii="Times New Roman" w:eastAsia="Calibri" w:hAnsi="Times New Roman" w:cs="Times New Roman"/>
          <w:sz w:val="24"/>
        </w:rPr>
        <w:t xml:space="preserve">Detayları </w:t>
      </w:r>
      <w:r w:rsidR="008E44AD">
        <w:rPr>
          <w:rFonts w:ascii="Times New Roman" w:eastAsia="Calibri" w:hAnsi="Times New Roman" w:cs="Times New Roman"/>
          <w:sz w:val="24"/>
        </w:rPr>
        <w:t xml:space="preserve">ve çalışma çerçevesi daha önce ifade edilmiş olan ve </w:t>
      </w:r>
      <w:r w:rsidR="00E47E87" w:rsidRPr="00E47E87">
        <w:rPr>
          <w:rFonts w:ascii="Times New Roman" w:eastAsia="Calibri" w:hAnsi="Times New Roman" w:cs="Times New Roman"/>
          <w:sz w:val="24"/>
        </w:rPr>
        <w:t>Rektörlük tarafından</w:t>
      </w:r>
      <w:r w:rsidR="00E47E87">
        <w:rPr>
          <w:rFonts w:ascii="Times New Roman" w:eastAsia="Calibri" w:hAnsi="Times New Roman" w:cs="Times New Roman"/>
          <w:sz w:val="24"/>
        </w:rPr>
        <w:t xml:space="preserve"> uygulanmakta olan</w:t>
      </w:r>
      <w:r w:rsidR="00E47E87" w:rsidRPr="00E47E87">
        <w:rPr>
          <w:rFonts w:ascii="Times New Roman" w:eastAsia="Calibri" w:hAnsi="Times New Roman" w:cs="Times New Roman"/>
          <w:sz w:val="24"/>
        </w:rPr>
        <w:t xml:space="preserve"> “Performans Değerlendirme Sistemi” altında </w:t>
      </w:r>
      <w:proofErr w:type="spellStart"/>
      <w:r w:rsidR="00E47E87" w:rsidRPr="00E47E87">
        <w:rPr>
          <w:rFonts w:ascii="Times New Roman" w:eastAsia="Calibri" w:hAnsi="Times New Roman" w:cs="Times New Roman"/>
          <w:sz w:val="24"/>
        </w:rPr>
        <w:t>uluslararasılaşma</w:t>
      </w:r>
      <w:proofErr w:type="spellEnd"/>
      <w:r w:rsidR="00E47E87" w:rsidRPr="00E47E87">
        <w:rPr>
          <w:rFonts w:ascii="Times New Roman" w:eastAsia="Calibri" w:hAnsi="Times New Roman" w:cs="Times New Roman"/>
          <w:sz w:val="24"/>
        </w:rPr>
        <w:t xml:space="preserve"> performansını izlemek üzere kullandığı göstergeler ve </w:t>
      </w:r>
      <w:proofErr w:type="spellStart"/>
      <w:r w:rsidR="00E47E87" w:rsidRPr="00E47E87">
        <w:rPr>
          <w:rFonts w:ascii="Times New Roman" w:eastAsia="Calibri" w:hAnsi="Times New Roman" w:cs="Times New Roman"/>
          <w:sz w:val="24"/>
        </w:rPr>
        <w:t>uluslararasılaşma</w:t>
      </w:r>
      <w:proofErr w:type="spellEnd"/>
      <w:r w:rsidR="00E47E87" w:rsidRPr="00E47E87">
        <w:rPr>
          <w:rFonts w:ascii="Times New Roman" w:eastAsia="Calibri" w:hAnsi="Times New Roman" w:cs="Times New Roman"/>
          <w:sz w:val="24"/>
        </w:rPr>
        <w:t xml:space="preserve"> hedeflerine ulaşılıp ulaşılmadığını izlemek üzere oluşturulan mekanizmalar </w:t>
      </w:r>
      <w:r w:rsidR="00E47E87">
        <w:rPr>
          <w:rFonts w:ascii="Times New Roman" w:eastAsia="Calibri" w:hAnsi="Times New Roman" w:cs="Times New Roman"/>
          <w:sz w:val="24"/>
        </w:rPr>
        <w:t>yönetilmektedir</w:t>
      </w:r>
      <w:r w:rsidR="00E47E87" w:rsidRPr="00E47E87">
        <w:rPr>
          <w:rFonts w:ascii="Times New Roman" w:eastAsia="Calibri" w:hAnsi="Times New Roman" w:cs="Times New Roman"/>
          <w:sz w:val="24"/>
        </w:rPr>
        <w:t xml:space="preserve">. Bu sistem kapsamında, ilgili birimlere her akademik yılı başında hedefleri bildirilir. Her yılsonunda ise bu hedeflere ulaşılıp ulaşılmadığı kontrol edilir ve hedef sahibine göstergelere göre performans puanı verilir. </w:t>
      </w:r>
    </w:p>
    <w:p w:rsidR="00E47E87" w:rsidRPr="00E47E87" w:rsidRDefault="00481833" w:rsidP="00E47E87">
      <w:pPr>
        <w:spacing w:after="160" w:line="259" w:lineRule="auto"/>
        <w:jc w:val="both"/>
        <w:rPr>
          <w:rFonts w:ascii="Times New Roman" w:eastAsia="Calibri" w:hAnsi="Times New Roman" w:cs="Times New Roman"/>
          <w:sz w:val="24"/>
        </w:rPr>
      </w:pPr>
      <w:r>
        <w:rPr>
          <w:rFonts w:ascii="Times New Roman" w:eastAsia="Calibri" w:hAnsi="Times New Roman" w:cs="Times New Roman"/>
          <w:sz w:val="24"/>
        </w:rPr>
        <w:t xml:space="preserve">Ayrıca </w:t>
      </w:r>
      <w:r w:rsidR="00E83E06">
        <w:rPr>
          <w:rFonts w:ascii="Times New Roman" w:eastAsia="Calibri" w:hAnsi="Times New Roman" w:cs="Times New Roman"/>
          <w:sz w:val="24"/>
        </w:rPr>
        <w:t xml:space="preserve">rekabet göstergelerinin ulusal ve uluslararası düzey takip ve yönetilmesine dair müstakil bir </w:t>
      </w:r>
      <w:proofErr w:type="gramStart"/>
      <w:r w:rsidR="00E83E06">
        <w:rPr>
          <w:rFonts w:ascii="Times New Roman" w:eastAsia="Calibri" w:hAnsi="Times New Roman" w:cs="Times New Roman"/>
          <w:sz w:val="24"/>
        </w:rPr>
        <w:t>departman</w:t>
      </w:r>
      <w:proofErr w:type="gramEnd"/>
      <w:r w:rsidR="00E83E06">
        <w:rPr>
          <w:rFonts w:ascii="Times New Roman" w:eastAsia="Calibri" w:hAnsi="Times New Roman" w:cs="Times New Roman"/>
          <w:sz w:val="24"/>
        </w:rPr>
        <w:t xml:space="preserve"> bulunmaktadır. İlgili</w:t>
      </w:r>
      <w:r w:rsidR="0083394C">
        <w:rPr>
          <w:rFonts w:ascii="Times New Roman" w:eastAsia="Calibri" w:hAnsi="Times New Roman" w:cs="Times New Roman"/>
          <w:sz w:val="24"/>
        </w:rPr>
        <w:t xml:space="preserve"> birim</w:t>
      </w:r>
      <w:r w:rsidR="00E83E06">
        <w:rPr>
          <w:rFonts w:ascii="Times New Roman" w:eastAsia="Calibri" w:hAnsi="Times New Roman" w:cs="Times New Roman"/>
          <w:sz w:val="24"/>
        </w:rPr>
        <w:t xml:space="preserve">; “Strateji ve İş Geliştirme Koordinatörlüğü” olarak konumlandırılmıştır. </w:t>
      </w:r>
      <w:proofErr w:type="spellStart"/>
      <w:r w:rsidR="002653D2">
        <w:rPr>
          <w:rFonts w:ascii="Times New Roman" w:eastAsia="Calibri" w:hAnsi="Times New Roman" w:cs="Times New Roman"/>
          <w:sz w:val="24"/>
        </w:rPr>
        <w:t>Uluslararasılaşma</w:t>
      </w:r>
      <w:proofErr w:type="spellEnd"/>
      <w:r w:rsidR="002653D2">
        <w:rPr>
          <w:rFonts w:ascii="Times New Roman" w:eastAsia="Calibri" w:hAnsi="Times New Roman" w:cs="Times New Roman"/>
          <w:sz w:val="24"/>
        </w:rPr>
        <w:t xml:space="preserve"> bağlamında; sıralamalar, akreditasyon yetkinlikleri, </w:t>
      </w:r>
      <w:proofErr w:type="spellStart"/>
      <w:r w:rsidR="002653D2">
        <w:rPr>
          <w:rFonts w:ascii="Times New Roman" w:eastAsia="Calibri" w:hAnsi="Times New Roman" w:cs="Times New Roman"/>
          <w:sz w:val="24"/>
        </w:rPr>
        <w:t>sektörel</w:t>
      </w:r>
      <w:proofErr w:type="spellEnd"/>
      <w:r w:rsidR="002653D2">
        <w:rPr>
          <w:rFonts w:ascii="Times New Roman" w:eastAsia="Calibri" w:hAnsi="Times New Roman" w:cs="Times New Roman"/>
          <w:sz w:val="24"/>
        </w:rPr>
        <w:t xml:space="preserve"> göstergelerin izleme ve takibi </w:t>
      </w:r>
      <w:proofErr w:type="gramStart"/>
      <w:r>
        <w:rPr>
          <w:rFonts w:ascii="Times New Roman" w:eastAsia="Calibri" w:hAnsi="Times New Roman" w:cs="Times New Roman"/>
          <w:sz w:val="24"/>
        </w:rPr>
        <w:t>departman</w:t>
      </w:r>
      <w:proofErr w:type="gramEnd"/>
      <w:r>
        <w:rPr>
          <w:rFonts w:ascii="Times New Roman" w:eastAsia="Calibri" w:hAnsi="Times New Roman" w:cs="Times New Roman"/>
          <w:sz w:val="24"/>
        </w:rPr>
        <w:t xml:space="preserve"> tarafından uygulanmakta </w:t>
      </w:r>
      <w:r w:rsidR="002653D2">
        <w:rPr>
          <w:rFonts w:ascii="Times New Roman" w:eastAsia="Calibri" w:hAnsi="Times New Roman" w:cs="Times New Roman"/>
          <w:sz w:val="24"/>
        </w:rPr>
        <w:t>olan akıllı analiz sistemleri ile yönetilmektedir.</w:t>
      </w:r>
      <w:r w:rsidR="007E6FDB">
        <w:rPr>
          <w:rFonts w:ascii="Times New Roman" w:eastAsia="Calibri" w:hAnsi="Times New Roman" w:cs="Times New Roman"/>
          <w:sz w:val="24"/>
        </w:rPr>
        <w:t xml:space="preserve"> Ülkemizdeki yükseköğretim kurumları içerisinde 400 civarında akredite programın bulunduğu verisinden hareketle, Üniversitemiz 14+2 program ile ulusal/uluslararası akreditasyona sahiptir.</w:t>
      </w:r>
      <w:r>
        <w:rPr>
          <w:rFonts w:ascii="Times New Roman" w:eastAsia="Calibri" w:hAnsi="Times New Roman" w:cs="Times New Roman"/>
          <w:sz w:val="24"/>
        </w:rPr>
        <w:t xml:space="preserve"> </w:t>
      </w:r>
    </w:p>
    <w:p w:rsidR="008E2E57" w:rsidRPr="009F02FA" w:rsidRDefault="008E2E57" w:rsidP="008E2E57">
      <w:pPr>
        <w:spacing w:after="160" w:line="259" w:lineRule="auto"/>
        <w:jc w:val="both"/>
        <w:rPr>
          <w:rFonts w:ascii="Times New Roman" w:eastAsia="Times New Roman" w:hAnsi="Times New Roman" w:cs="Times New Roman"/>
          <w:sz w:val="24"/>
          <w:szCs w:val="24"/>
        </w:rPr>
      </w:pPr>
      <w:r w:rsidRPr="009F02FA">
        <w:rPr>
          <w:rFonts w:ascii="Times New Roman" w:eastAsia="Calibri" w:hAnsi="Times New Roman" w:cs="Times New Roman"/>
          <w:sz w:val="24"/>
        </w:rPr>
        <w:t>Atılım Üniversitesi THE, QS, ARWU</w:t>
      </w:r>
      <w:r w:rsidR="00CA1FD3">
        <w:rPr>
          <w:rFonts w:ascii="Times New Roman" w:eastAsia="Calibri" w:hAnsi="Times New Roman" w:cs="Times New Roman"/>
          <w:sz w:val="24"/>
        </w:rPr>
        <w:t>, ROUND</w:t>
      </w:r>
      <w:r w:rsidRPr="009F02FA">
        <w:rPr>
          <w:rFonts w:ascii="Times New Roman" w:eastAsia="Calibri" w:hAnsi="Times New Roman" w:cs="Times New Roman"/>
          <w:sz w:val="24"/>
        </w:rPr>
        <w:t xml:space="preserve"> ve US News gibi sıralama kuruluşlarının genel, bölgesel ve alan sıralamalarında kendisine yer bulmaktadır. </w:t>
      </w:r>
      <w:r w:rsidRPr="009F02FA">
        <w:rPr>
          <w:rFonts w:ascii="Times New Roman" w:eastAsia="Times New Roman" w:hAnsi="Times New Roman" w:cs="Times New Roman"/>
          <w:sz w:val="24"/>
          <w:szCs w:val="24"/>
        </w:rPr>
        <w:t xml:space="preserve">İlgi kurumsal belge, detay ve kanıtlar, işbu rapor eklerinde ve </w:t>
      </w:r>
      <w:hyperlink r:id="rId15" w:history="1">
        <w:r w:rsidRPr="009F02FA">
          <w:rPr>
            <w:rStyle w:val="Kpr"/>
            <w:rFonts w:ascii="Times New Roman" w:hAnsi="Times New Roman" w:cs="Times New Roman"/>
            <w:sz w:val="20"/>
          </w:rPr>
          <w:t>https://ic.atilim.edu.tr/tr</w:t>
        </w:r>
      </w:hyperlink>
      <w:r w:rsidRPr="009F02FA">
        <w:rPr>
          <w:sz w:val="20"/>
        </w:rPr>
        <w:t xml:space="preserve"> </w:t>
      </w:r>
      <w:r w:rsidRPr="009F02FA">
        <w:rPr>
          <w:rFonts w:ascii="Times New Roman" w:eastAsia="Times New Roman" w:hAnsi="Times New Roman" w:cs="Times New Roman"/>
          <w:szCs w:val="24"/>
        </w:rPr>
        <w:t xml:space="preserve"> </w:t>
      </w:r>
      <w:r w:rsidRPr="009F02FA">
        <w:rPr>
          <w:rFonts w:ascii="Times New Roman" w:eastAsia="Times New Roman" w:hAnsi="Times New Roman" w:cs="Times New Roman"/>
          <w:sz w:val="24"/>
          <w:szCs w:val="24"/>
        </w:rPr>
        <w:t>bağlantısı üzerinden ayrıca takip edilerek incelenebilir.</w:t>
      </w:r>
    </w:p>
    <w:p w:rsidR="008E2E57" w:rsidRPr="009F02FA" w:rsidRDefault="008E2E57" w:rsidP="008E2E57">
      <w:pPr>
        <w:spacing w:after="160" w:line="259" w:lineRule="auto"/>
        <w:jc w:val="both"/>
        <w:rPr>
          <w:rFonts w:ascii="Times New Roman" w:eastAsia="Times New Roman" w:hAnsi="Times New Roman" w:cs="Times New Roman"/>
          <w:sz w:val="24"/>
          <w:szCs w:val="24"/>
        </w:rPr>
      </w:pPr>
      <w:r w:rsidRPr="009F02FA">
        <w:rPr>
          <w:rFonts w:ascii="Times New Roman" w:eastAsia="Times New Roman" w:hAnsi="Times New Roman" w:cs="Times New Roman"/>
          <w:sz w:val="24"/>
          <w:szCs w:val="24"/>
        </w:rPr>
        <w:t xml:space="preserve">Atılım Üniversitesi eğitim-öğretim faaliyetleri ve akademik programlarının kalitesini ulusal ve uluslararası kuruluşların bağımsız dış değerlendirmelerinde inceletmek ve ölçümlemek üzere ulusal ve uluslararası geçerliliği bulunan sertifikasyon ve akreditasyonlara da hak kazanmaktadır. </w:t>
      </w:r>
    </w:p>
    <w:p w:rsidR="008E2E57" w:rsidRPr="000336EA" w:rsidRDefault="008E2E57" w:rsidP="008E2E57">
      <w:pPr>
        <w:spacing w:after="160" w:line="259" w:lineRule="auto"/>
        <w:jc w:val="both"/>
        <w:rPr>
          <w:rFonts w:ascii="Times New Roman" w:eastAsia="Times New Roman" w:hAnsi="Times New Roman" w:cs="Times New Roman"/>
          <w:sz w:val="24"/>
          <w:szCs w:val="24"/>
        </w:rPr>
      </w:pPr>
      <w:r w:rsidRPr="000336EA">
        <w:rPr>
          <w:rFonts w:ascii="Times New Roman" w:eastAsia="Times New Roman" w:hAnsi="Times New Roman" w:cs="Times New Roman"/>
          <w:sz w:val="24"/>
          <w:szCs w:val="24"/>
        </w:rPr>
        <w:t>Atılım Üniversitesi Mühendislik Fakültesi’nin bir dizi mühendislik lisans programının Mühendislik Eğitim Programları Değerlendirme ve Akreditasyon Derneği (MÜDEK) tarafından dış değerlendirmesi neticesinde akreditasyonu hem ulusal çapta hem de Avrupa Mühendislik Eğitimi Akreditasyon Ağı</w:t>
      </w:r>
      <w:r w:rsidRPr="000336EA">
        <w:rPr>
          <w:rFonts w:ascii="Times New Roman" w:hAnsi="Times New Roman" w:cs="Times New Roman"/>
          <w:color w:val="000000"/>
          <w:sz w:val="20"/>
          <w:szCs w:val="20"/>
          <w:shd w:val="clear" w:color="auto" w:fill="FFFFFF"/>
        </w:rPr>
        <w:t xml:space="preserve"> (</w:t>
      </w:r>
      <w:hyperlink r:id="rId16" w:tgtFrame="_blank" w:history="1">
        <w:r w:rsidRPr="000336EA">
          <w:rPr>
            <w:rStyle w:val="Kpr"/>
            <w:rFonts w:ascii="Times New Roman" w:hAnsi="Times New Roman" w:cs="Times New Roman"/>
            <w:sz w:val="20"/>
            <w:szCs w:val="20"/>
            <w:shd w:val="clear" w:color="auto" w:fill="FFFFFF"/>
          </w:rPr>
          <w:t>ENAEE</w:t>
        </w:r>
      </w:hyperlink>
      <w:r w:rsidRPr="000336EA">
        <w:rPr>
          <w:rFonts w:ascii="Times New Roman" w:hAnsi="Times New Roman" w:cs="Times New Roman"/>
          <w:color w:val="000000"/>
          <w:sz w:val="20"/>
          <w:szCs w:val="20"/>
          <w:shd w:val="clear" w:color="auto" w:fill="FFFFFF"/>
        </w:rPr>
        <w:t xml:space="preserve"> - </w:t>
      </w:r>
      <w:proofErr w:type="spellStart"/>
      <w:r w:rsidRPr="000336EA">
        <w:rPr>
          <w:rFonts w:ascii="Times New Roman" w:eastAsia="Times New Roman" w:hAnsi="Times New Roman" w:cs="Times New Roman"/>
          <w:sz w:val="20"/>
          <w:szCs w:val="20"/>
        </w:rPr>
        <w:t>European</w:t>
      </w:r>
      <w:proofErr w:type="spellEnd"/>
      <w:r w:rsidRPr="000336EA">
        <w:rPr>
          <w:rFonts w:ascii="Times New Roman" w:eastAsia="Times New Roman" w:hAnsi="Times New Roman" w:cs="Times New Roman"/>
          <w:sz w:val="20"/>
          <w:szCs w:val="20"/>
        </w:rPr>
        <w:t xml:space="preserve"> Network </w:t>
      </w:r>
      <w:proofErr w:type="spellStart"/>
      <w:r w:rsidRPr="000336EA">
        <w:rPr>
          <w:rFonts w:ascii="Times New Roman" w:eastAsia="Times New Roman" w:hAnsi="Times New Roman" w:cs="Times New Roman"/>
          <w:sz w:val="20"/>
          <w:szCs w:val="20"/>
        </w:rPr>
        <w:t>for</w:t>
      </w:r>
      <w:proofErr w:type="spellEnd"/>
      <w:r w:rsidRPr="000336EA">
        <w:rPr>
          <w:rFonts w:ascii="Times New Roman" w:eastAsia="Times New Roman" w:hAnsi="Times New Roman" w:cs="Times New Roman"/>
          <w:sz w:val="20"/>
          <w:szCs w:val="20"/>
        </w:rPr>
        <w:t xml:space="preserve"> </w:t>
      </w:r>
      <w:proofErr w:type="spellStart"/>
      <w:r w:rsidRPr="000336EA">
        <w:rPr>
          <w:rFonts w:ascii="Times New Roman" w:eastAsia="Times New Roman" w:hAnsi="Times New Roman" w:cs="Times New Roman"/>
          <w:sz w:val="20"/>
          <w:szCs w:val="20"/>
        </w:rPr>
        <w:t>Accreditation</w:t>
      </w:r>
      <w:proofErr w:type="spellEnd"/>
      <w:r w:rsidRPr="000336EA">
        <w:rPr>
          <w:rFonts w:ascii="Times New Roman" w:eastAsia="Times New Roman" w:hAnsi="Times New Roman" w:cs="Times New Roman"/>
          <w:sz w:val="20"/>
          <w:szCs w:val="20"/>
        </w:rPr>
        <w:t xml:space="preserve"> of </w:t>
      </w:r>
      <w:proofErr w:type="spellStart"/>
      <w:r w:rsidRPr="000336EA">
        <w:rPr>
          <w:rFonts w:ascii="Times New Roman" w:eastAsia="Times New Roman" w:hAnsi="Times New Roman" w:cs="Times New Roman"/>
          <w:sz w:val="20"/>
          <w:szCs w:val="20"/>
        </w:rPr>
        <w:t>Engineering</w:t>
      </w:r>
      <w:proofErr w:type="spellEnd"/>
      <w:r w:rsidRPr="000336EA">
        <w:rPr>
          <w:rFonts w:ascii="Times New Roman" w:eastAsia="Times New Roman" w:hAnsi="Times New Roman" w:cs="Times New Roman"/>
          <w:sz w:val="20"/>
          <w:szCs w:val="20"/>
        </w:rPr>
        <w:t xml:space="preserve"> </w:t>
      </w:r>
      <w:proofErr w:type="spellStart"/>
      <w:r w:rsidRPr="000336EA">
        <w:rPr>
          <w:rFonts w:ascii="Times New Roman" w:eastAsia="Times New Roman" w:hAnsi="Times New Roman" w:cs="Times New Roman"/>
          <w:sz w:val="20"/>
          <w:szCs w:val="20"/>
        </w:rPr>
        <w:t>Education</w:t>
      </w:r>
      <w:proofErr w:type="spellEnd"/>
      <w:r w:rsidRPr="000336EA">
        <w:rPr>
          <w:rFonts w:ascii="Times New Roman" w:eastAsia="Times New Roman" w:hAnsi="Times New Roman" w:cs="Times New Roman"/>
          <w:sz w:val="20"/>
          <w:szCs w:val="20"/>
        </w:rPr>
        <w:t>) </w:t>
      </w:r>
      <w:r w:rsidRPr="000336EA">
        <w:rPr>
          <w:rFonts w:ascii="Times New Roman" w:eastAsia="Times New Roman" w:hAnsi="Times New Roman" w:cs="Times New Roman"/>
          <w:sz w:val="24"/>
          <w:szCs w:val="24"/>
        </w:rPr>
        <w:t xml:space="preserve">üzerinde tescil edilmiştir. Bilgisayar Mühendisliği, Elektrik-Elektronik Mühendisliği, Endüstri Mühendisliği, İmalat Mühendisliği, İnşaat Mühendisliği, </w:t>
      </w:r>
      <w:proofErr w:type="spellStart"/>
      <w:r w:rsidRPr="000336EA">
        <w:rPr>
          <w:rFonts w:ascii="Times New Roman" w:eastAsia="Times New Roman" w:hAnsi="Times New Roman" w:cs="Times New Roman"/>
          <w:sz w:val="24"/>
          <w:szCs w:val="24"/>
        </w:rPr>
        <w:t>Mekatronik</w:t>
      </w:r>
      <w:proofErr w:type="spellEnd"/>
      <w:r w:rsidRPr="000336EA">
        <w:rPr>
          <w:rFonts w:ascii="Times New Roman" w:eastAsia="Times New Roman" w:hAnsi="Times New Roman" w:cs="Times New Roman"/>
          <w:sz w:val="24"/>
          <w:szCs w:val="24"/>
        </w:rPr>
        <w:t xml:space="preserve"> Mühendisliği, </w:t>
      </w:r>
      <w:proofErr w:type="spellStart"/>
      <w:r w:rsidRPr="000336EA">
        <w:rPr>
          <w:rFonts w:ascii="Times New Roman" w:eastAsia="Times New Roman" w:hAnsi="Times New Roman" w:cs="Times New Roman"/>
          <w:sz w:val="24"/>
          <w:szCs w:val="24"/>
        </w:rPr>
        <w:t>Metalurji</w:t>
      </w:r>
      <w:proofErr w:type="spellEnd"/>
      <w:r w:rsidRPr="000336EA">
        <w:rPr>
          <w:rFonts w:ascii="Times New Roman" w:eastAsia="Times New Roman" w:hAnsi="Times New Roman" w:cs="Times New Roman"/>
          <w:sz w:val="24"/>
          <w:szCs w:val="24"/>
        </w:rPr>
        <w:t xml:space="preserve"> ve Malzeme Mühendisliği, Yazılım Mühendisliği lisans programları MÜDEK akreditasyonu ve ENAEE EUR-ACE® tesciline sahiptir.</w:t>
      </w:r>
      <w:r>
        <w:rPr>
          <w:rFonts w:ascii="Times New Roman" w:eastAsia="Times New Roman" w:hAnsi="Times New Roman" w:cs="Times New Roman"/>
          <w:sz w:val="24"/>
          <w:szCs w:val="24"/>
        </w:rPr>
        <w:t xml:space="preserve"> </w:t>
      </w:r>
    </w:p>
    <w:p w:rsidR="008E2E57" w:rsidRPr="009F02FA" w:rsidRDefault="008E2E57" w:rsidP="008E2E57">
      <w:pPr>
        <w:spacing w:after="160" w:line="259" w:lineRule="auto"/>
        <w:jc w:val="both"/>
        <w:rPr>
          <w:rFonts w:ascii="Times New Roman" w:eastAsia="Times New Roman" w:hAnsi="Times New Roman" w:cs="Times New Roman"/>
          <w:sz w:val="24"/>
          <w:szCs w:val="24"/>
        </w:rPr>
      </w:pPr>
      <w:r w:rsidRPr="009F02FA">
        <w:rPr>
          <w:rFonts w:ascii="Times New Roman" w:eastAsia="Times New Roman" w:hAnsi="Times New Roman" w:cs="Times New Roman"/>
          <w:sz w:val="24"/>
          <w:szCs w:val="24"/>
        </w:rPr>
        <w:t xml:space="preserve">Atılım Üniversitesi Fen-Edebiyat Fakültesi’nin bir dizi lisans programının Yükseköğretim Kurulu tarafından ulusal bir kalite güvence kuruluşu olarak tanınan Fen, Edebiyat, Fen - Edebiyat, Dil Ve Tarih - Coğrafya Fakülteleri Öğretim Programları Değerlendirme Ve Akreditasyon Derneği (FEDEK) tarafından dış değerlendirmesi neticesinde akreditasyonu sağlanmıştır. Mütercim Tercümanlık, İngiliz Dili ve Edebiyatı, Psikoloji lisans programları </w:t>
      </w:r>
      <w:hyperlink r:id="rId17" w:history="1">
        <w:r w:rsidRPr="00543B7F">
          <w:rPr>
            <w:rStyle w:val="Kpr"/>
            <w:rFonts w:ascii="Times New Roman" w:eastAsia="Times New Roman" w:hAnsi="Times New Roman" w:cs="Times New Roman"/>
            <w:sz w:val="24"/>
            <w:szCs w:val="24"/>
          </w:rPr>
          <w:t>FEDEK akreditasyonu</w:t>
        </w:r>
      </w:hyperlink>
      <w:r w:rsidRPr="009F02FA">
        <w:rPr>
          <w:rFonts w:ascii="Times New Roman" w:eastAsia="Times New Roman" w:hAnsi="Times New Roman" w:cs="Times New Roman"/>
          <w:sz w:val="24"/>
          <w:szCs w:val="24"/>
        </w:rPr>
        <w:t>na sahiptir.</w:t>
      </w:r>
      <w:r>
        <w:rPr>
          <w:rFonts w:ascii="Times New Roman" w:eastAsia="Times New Roman" w:hAnsi="Times New Roman" w:cs="Times New Roman"/>
          <w:sz w:val="24"/>
          <w:szCs w:val="24"/>
        </w:rPr>
        <w:t xml:space="preserve"> Benzer şekilde Matematik lisans programı da 2019 yılı içerisinde akreditasyon sürecinden geçmeye hak kazanmıştır.</w:t>
      </w:r>
    </w:p>
    <w:p w:rsidR="008E2E57" w:rsidRPr="009F02FA" w:rsidRDefault="008E2E57" w:rsidP="008E2E57">
      <w:pPr>
        <w:spacing w:after="160" w:line="259" w:lineRule="auto"/>
        <w:jc w:val="both"/>
        <w:rPr>
          <w:rFonts w:ascii="Times New Roman" w:eastAsia="Times New Roman" w:hAnsi="Times New Roman" w:cs="Times New Roman"/>
          <w:sz w:val="24"/>
          <w:szCs w:val="24"/>
        </w:rPr>
      </w:pPr>
      <w:r w:rsidRPr="009F02FA">
        <w:rPr>
          <w:rFonts w:ascii="Times New Roman" w:eastAsia="Times New Roman" w:hAnsi="Times New Roman" w:cs="Times New Roman"/>
          <w:sz w:val="24"/>
          <w:szCs w:val="24"/>
        </w:rPr>
        <w:lastRenderedPageBreak/>
        <w:t xml:space="preserve">Atılım Üniversitesi Hukuk Fakültesi, Avrupa Birliği standartlarında verdiği hukuk eğitimi ile Avrupa Hukuk Fakülteleri Birliği </w:t>
      </w:r>
      <w:r w:rsidRPr="009F02FA">
        <w:rPr>
          <w:rFonts w:ascii="Times New Roman" w:eastAsia="Times New Roman" w:hAnsi="Times New Roman" w:cs="Times New Roman"/>
          <w:sz w:val="20"/>
          <w:szCs w:val="24"/>
        </w:rPr>
        <w:t xml:space="preserve">(ELFA; </w:t>
      </w:r>
      <w:proofErr w:type="spellStart"/>
      <w:r w:rsidRPr="00245817">
        <w:rPr>
          <w:rFonts w:ascii="Times New Roman" w:eastAsia="Times New Roman" w:hAnsi="Times New Roman" w:cs="Times New Roman"/>
          <w:sz w:val="20"/>
          <w:szCs w:val="24"/>
        </w:rPr>
        <w:t>The</w:t>
      </w:r>
      <w:proofErr w:type="spellEnd"/>
      <w:r w:rsidRPr="00245817">
        <w:rPr>
          <w:rFonts w:ascii="Times New Roman" w:eastAsia="Times New Roman" w:hAnsi="Times New Roman" w:cs="Times New Roman"/>
          <w:sz w:val="20"/>
          <w:szCs w:val="24"/>
        </w:rPr>
        <w:t xml:space="preserve"> </w:t>
      </w:r>
      <w:proofErr w:type="spellStart"/>
      <w:r w:rsidRPr="00245817">
        <w:rPr>
          <w:rFonts w:ascii="Times New Roman" w:eastAsia="Times New Roman" w:hAnsi="Times New Roman" w:cs="Times New Roman"/>
          <w:sz w:val="20"/>
          <w:szCs w:val="24"/>
        </w:rPr>
        <w:t>European</w:t>
      </w:r>
      <w:proofErr w:type="spellEnd"/>
      <w:r w:rsidRPr="00245817">
        <w:rPr>
          <w:rFonts w:ascii="Times New Roman" w:eastAsia="Times New Roman" w:hAnsi="Times New Roman" w:cs="Times New Roman"/>
          <w:sz w:val="20"/>
          <w:szCs w:val="24"/>
        </w:rPr>
        <w:t xml:space="preserve"> </w:t>
      </w:r>
      <w:proofErr w:type="spellStart"/>
      <w:r w:rsidRPr="00245817">
        <w:rPr>
          <w:rFonts w:ascii="Times New Roman" w:eastAsia="Times New Roman" w:hAnsi="Times New Roman" w:cs="Times New Roman"/>
          <w:sz w:val="20"/>
          <w:szCs w:val="24"/>
        </w:rPr>
        <w:t>Law</w:t>
      </w:r>
      <w:proofErr w:type="spellEnd"/>
      <w:r w:rsidRPr="00245817">
        <w:rPr>
          <w:rFonts w:ascii="Times New Roman" w:eastAsia="Times New Roman" w:hAnsi="Times New Roman" w:cs="Times New Roman"/>
          <w:sz w:val="20"/>
          <w:szCs w:val="24"/>
        </w:rPr>
        <w:t xml:space="preserve"> </w:t>
      </w:r>
      <w:proofErr w:type="spellStart"/>
      <w:r w:rsidRPr="00245817">
        <w:rPr>
          <w:rFonts w:ascii="Times New Roman" w:eastAsia="Times New Roman" w:hAnsi="Times New Roman" w:cs="Times New Roman"/>
          <w:sz w:val="20"/>
          <w:szCs w:val="24"/>
        </w:rPr>
        <w:t>Faculties</w:t>
      </w:r>
      <w:proofErr w:type="spellEnd"/>
      <w:r w:rsidRPr="00245817">
        <w:rPr>
          <w:rFonts w:ascii="Times New Roman" w:eastAsia="Times New Roman" w:hAnsi="Times New Roman" w:cs="Times New Roman"/>
          <w:sz w:val="20"/>
          <w:szCs w:val="24"/>
        </w:rPr>
        <w:t xml:space="preserve"> </w:t>
      </w:r>
      <w:proofErr w:type="spellStart"/>
      <w:r w:rsidRPr="00245817">
        <w:rPr>
          <w:rFonts w:ascii="Times New Roman" w:eastAsia="Times New Roman" w:hAnsi="Times New Roman" w:cs="Times New Roman"/>
          <w:sz w:val="20"/>
          <w:szCs w:val="24"/>
        </w:rPr>
        <w:t>Association</w:t>
      </w:r>
      <w:proofErr w:type="spellEnd"/>
      <w:r w:rsidRPr="009F02FA">
        <w:rPr>
          <w:rFonts w:ascii="Times New Roman" w:eastAsia="Times New Roman" w:hAnsi="Times New Roman" w:cs="Times New Roman"/>
          <w:sz w:val="20"/>
          <w:szCs w:val="24"/>
        </w:rPr>
        <w:t xml:space="preserve">) </w:t>
      </w:r>
      <w:r w:rsidRPr="009F02FA">
        <w:rPr>
          <w:rFonts w:ascii="Times New Roman" w:eastAsia="Times New Roman" w:hAnsi="Times New Roman" w:cs="Times New Roman"/>
          <w:sz w:val="24"/>
          <w:szCs w:val="24"/>
        </w:rPr>
        <w:t>üyeliğini gerçekleştirmiştir. Bu üyeliğin temel kazanımı, diğer hukuk fakülteleri ile görüş ve tecrübe alış verişi, hukuk eğitiminde güncel eğilim ve gelişmeleri takip edebilme ve Avrupa Birliği dâhilinde uluslararası işbirlikleri kurabilme olarak özetlenmektedir.</w:t>
      </w:r>
      <w:r>
        <w:rPr>
          <w:rFonts w:ascii="Times New Roman" w:eastAsia="Times New Roman" w:hAnsi="Times New Roman" w:cs="Times New Roman"/>
          <w:sz w:val="24"/>
          <w:szCs w:val="24"/>
        </w:rPr>
        <w:t xml:space="preserve"> </w:t>
      </w:r>
    </w:p>
    <w:p w:rsidR="008E2E57" w:rsidRDefault="008E2E57" w:rsidP="008E2E57">
      <w:pPr>
        <w:pStyle w:val="NormalWeb"/>
        <w:shd w:val="clear" w:color="auto" w:fill="FFFFFF"/>
        <w:spacing w:after="150"/>
        <w:jc w:val="both"/>
        <w:rPr>
          <w:rFonts w:eastAsia="Times New Roman"/>
          <w:lang w:val="tr-TR"/>
        </w:rPr>
      </w:pPr>
      <w:r w:rsidRPr="009F02FA">
        <w:rPr>
          <w:rFonts w:eastAsia="Times New Roman"/>
          <w:lang w:val="tr-TR"/>
        </w:rPr>
        <w:t xml:space="preserve">Atılım Üniversitesi Yabancı Diller Yüksekokulu bünyesindeki Modern Diller ve Temel İngilizce bölümlerinin </w:t>
      </w:r>
      <w:proofErr w:type="spellStart"/>
      <w:r w:rsidRPr="00245817">
        <w:rPr>
          <w:rFonts w:eastAsia="Times New Roman"/>
          <w:lang w:val="tr-TR"/>
        </w:rPr>
        <w:t>Pearson</w:t>
      </w:r>
      <w:proofErr w:type="spellEnd"/>
      <w:r w:rsidRPr="00245817">
        <w:rPr>
          <w:rFonts w:eastAsia="Times New Roman"/>
          <w:lang w:val="tr-TR"/>
        </w:rPr>
        <w:t xml:space="preserve"> </w:t>
      </w:r>
      <w:proofErr w:type="spellStart"/>
      <w:r w:rsidRPr="00245817">
        <w:rPr>
          <w:rFonts w:eastAsia="Times New Roman"/>
          <w:lang w:val="tr-TR"/>
        </w:rPr>
        <w:t>Assured</w:t>
      </w:r>
      <w:proofErr w:type="spellEnd"/>
      <w:r w:rsidRPr="009F02FA">
        <w:rPr>
          <w:rFonts w:eastAsia="Times New Roman"/>
          <w:lang w:val="tr-TR"/>
        </w:rPr>
        <w:t xml:space="preserve"> Kalite Güvence Sistemine uygun olduğu tescil edilmiştir. Bu tescile göre bahse konu iki bölüm de ayrı ayrı olarak, organizasyon ve yönetim süreçleri, öğrenme öğretme sistem ve süreçleri, ölçme değerlendirme süreçleri bakımından üst düzey kalitede bulunmuş ve onaylanmıştır. </w:t>
      </w:r>
      <w:r>
        <w:rPr>
          <w:rFonts w:eastAsia="Times New Roman"/>
          <w:lang w:val="tr-TR"/>
        </w:rPr>
        <w:t xml:space="preserve"> </w:t>
      </w:r>
      <w:r w:rsidRPr="003A5C02">
        <w:rPr>
          <w:rFonts w:eastAsia="Times New Roman"/>
          <w:lang w:val="tr-TR"/>
        </w:rPr>
        <w:t xml:space="preserve">Kalite belgesi bir yıllık süre ile verilmiş olup her yıl yeniden denetim ve belgelendirme yapılması şeklinde sürecektir. 2018 yılı Ekim ayında birincisi verilmiş olan </w:t>
      </w:r>
      <w:proofErr w:type="spellStart"/>
      <w:r w:rsidRPr="003A5C02">
        <w:rPr>
          <w:rFonts w:eastAsia="Times New Roman"/>
          <w:lang w:val="tr-TR"/>
        </w:rPr>
        <w:t>Pearson</w:t>
      </w:r>
      <w:proofErr w:type="spellEnd"/>
      <w:r w:rsidRPr="003A5C02">
        <w:rPr>
          <w:rFonts w:eastAsia="Times New Roman"/>
          <w:lang w:val="tr-TR"/>
        </w:rPr>
        <w:t xml:space="preserve"> akreditasyon sertifikası 24.10.2019 tarihinde güncellenmiştir ve hem Modern Diller Bölümü hem de Temel İngilizce Bölümü için 24.10.2020 tarihine kadar geçerlidir. </w:t>
      </w:r>
    </w:p>
    <w:p w:rsidR="008E2E57" w:rsidRDefault="008E2E57" w:rsidP="008E2E57">
      <w:pPr>
        <w:pStyle w:val="NormalWeb"/>
        <w:shd w:val="clear" w:color="auto" w:fill="FFFFFF"/>
        <w:spacing w:after="150"/>
        <w:jc w:val="both"/>
        <w:rPr>
          <w:lang w:val="tr-TR"/>
        </w:rPr>
      </w:pPr>
      <w:r w:rsidRPr="009F02FA">
        <w:rPr>
          <w:rFonts w:eastAsia="Times New Roman"/>
          <w:lang w:val="tr-TR"/>
        </w:rPr>
        <w:t xml:space="preserve">Atılım Üniversitesi Güzel Sanatlar Tasarım ve Mimarlık Fakültesi Mimarlık Bölümü, </w:t>
      </w:r>
      <w:proofErr w:type="spellStart"/>
      <w:r w:rsidRPr="009F02FA">
        <w:rPr>
          <w:lang w:val="tr-TR"/>
        </w:rPr>
        <w:t>MiAK</w:t>
      </w:r>
      <w:proofErr w:type="spellEnd"/>
      <w:r w:rsidRPr="009F02FA">
        <w:rPr>
          <w:lang w:val="tr-TR"/>
        </w:rPr>
        <w:t xml:space="preserve"> </w:t>
      </w:r>
      <w:r w:rsidRPr="009F02FA">
        <w:rPr>
          <w:sz w:val="20"/>
          <w:lang w:val="tr-TR"/>
        </w:rPr>
        <w:t xml:space="preserve">-Mühendislik Akreditasyon Kurulu; </w:t>
      </w:r>
      <w:hyperlink r:id="rId18" w:history="1">
        <w:r w:rsidRPr="009F02FA">
          <w:rPr>
            <w:rStyle w:val="Kpr"/>
            <w:sz w:val="20"/>
            <w:lang w:val="tr-TR"/>
          </w:rPr>
          <w:t>http://www.miak.org</w:t>
        </w:r>
      </w:hyperlink>
      <w:r w:rsidRPr="009F02FA">
        <w:rPr>
          <w:sz w:val="20"/>
          <w:lang w:val="tr-TR"/>
        </w:rPr>
        <w:t xml:space="preserve"> - </w:t>
      </w:r>
      <w:r w:rsidRPr="009F02FA">
        <w:rPr>
          <w:lang w:val="tr-TR"/>
        </w:rPr>
        <w:t xml:space="preserve">akreditasyonu için başvuru yapılmıştır. Mimarlık Bölümü hâlihazırda Avrupa Mimarlık Okulları Birliği’nin </w:t>
      </w:r>
      <w:r w:rsidRPr="009F02FA">
        <w:rPr>
          <w:sz w:val="20"/>
          <w:lang w:val="tr-TR"/>
        </w:rPr>
        <w:t xml:space="preserve">(EAAE; </w:t>
      </w:r>
      <w:r w:rsidRPr="009F02FA">
        <w:rPr>
          <w:sz w:val="20"/>
          <w:lang w:val="en-GB"/>
        </w:rPr>
        <w:t>European Association for Architectural Education</w:t>
      </w:r>
      <w:r w:rsidRPr="009F02FA">
        <w:rPr>
          <w:sz w:val="20"/>
          <w:lang w:val="tr-TR"/>
        </w:rPr>
        <w:t xml:space="preserve">; </w:t>
      </w:r>
      <w:hyperlink r:id="rId19" w:history="1">
        <w:r w:rsidRPr="009F02FA">
          <w:rPr>
            <w:rStyle w:val="Kpr"/>
            <w:sz w:val="20"/>
            <w:lang w:val="tr-TR"/>
          </w:rPr>
          <w:t>http://www.eaae.be</w:t>
        </w:r>
      </w:hyperlink>
      <w:r w:rsidRPr="009F02FA">
        <w:rPr>
          <w:sz w:val="20"/>
          <w:lang w:val="tr-TR"/>
        </w:rPr>
        <w:t xml:space="preserve">) </w:t>
      </w:r>
      <w:r w:rsidRPr="009F02FA">
        <w:rPr>
          <w:lang w:val="tr-TR"/>
        </w:rPr>
        <w:t>tam üyesidir.</w:t>
      </w:r>
      <w:r>
        <w:rPr>
          <w:lang w:val="tr-TR"/>
        </w:rPr>
        <w:t xml:space="preserve"> </w:t>
      </w:r>
    </w:p>
    <w:p w:rsidR="008E2E57" w:rsidRDefault="008E2E57" w:rsidP="008E2E57">
      <w:pPr>
        <w:pStyle w:val="NormalWeb"/>
        <w:shd w:val="clear" w:color="auto" w:fill="FFFFFF"/>
        <w:spacing w:after="150"/>
        <w:jc w:val="both"/>
        <w:rPr>
          <w:lang w:val="tr-TR"/>
        </w:rPr>
      </w:pPr>
      <w:r>
        <w:rPr>
          <w:lang w:val="tr-TR"/>
        </w:rPr>
        <w:t>Atılım Üniversitesi İşletme Fakültesi Turizm ve Otel İşletmeciliği Bölümü, Turizm Akademisyenleri Derneği Yükseköğretim Turizm Programları Değerlendirme ve Akreditasyon Kurulu’nun (</w:t>
      </w:r>
      <w:hyperlink r:id="rId20" w:history="1">
        <w:r w:rsidRPr="00EC1E11">
          <w:rPr>
            <w:rStyle w:val="Kpr"/>
            <w:sz w:val="20"/>
            <w:lang w:val="tr-TR"/>
          </w:rPr>
          <w:t>http://turak.org</w:t>
        </w:r>
      </w:hyperlink>
      <w:r w:rsidRPr="00EC1E11">
        <w:rPr>
          <w:lang w:val="tr-TR"/>
        </w:rPr>
        <w:t xml:space="preserve">) </w:t>
      </w:r>
      <w:r>
        <w:rPr>
          <w:lang w:val="tr-TR"/>
        </w:rPr>
        <w:t xml:space="preserve">değerlendirme ve akreditasyonu için başvuruda bulunmuş ve 12 Nisan 2019’dan geçerli olmak üzere </w:t>
      </w:r>
      <w:hyperlink r:id="rId21" w:history="1">
        <w:r w:rsidRPr="000600A7">
          <w:rPr>
            <w:rStyle w:val="Kpr"/>
            <w:lang w:val="tr-TR"/>
          </w:rPr>
          <w:t>2 yıl süresince akredite</w:t>
        </w:r>
      </w:hyperlink>
      <w:r w:rsidR="000600A7">
        <w:rPr>
          <w:lang w:val="tr-TR"/>
        </w:rPr>
        <w:t xml:space="preserve"> olmuştur.</w:t>
      </w:r>
    </w:p>
    <w:p w:rsidR="00464C7A" w:rsidRDefault="00464C7A" w:rsidP="00464C7A">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22"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8E2E57" w:rsidRDefault="008E2E57"/>
    <w:sectPr w:rsidR="008E2E5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5B" w:rsidRDefault="0047575B" w:rsidP="00B2114B">
      <w:r>
        <w:separator/>
      </w:r>
    </w:p>
  </w:endnote>
  <w:endnote w:type="continuationSeparator" w:id="0">
    <w:p w:rsidR="0047575B" w:rsidRDefault="0047575B" w:rsidP="00B2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mesNewRoman">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26265"/>
      <w:docPartObj>
        <w:docPartGallery w:val="Page Numbers (Bottom of Page)"/>
        <w:docPartUnique/>
      </w:docPartObj>
    </w:sdtPr>
    <w:sdtEndPr/>
    <w:sdtContent>
      <w:p w:rsidR="00B2114B" w:rsidRDefault="00B2114B">
        <w:pPr>
          <w:pStyle w:val="AltBilgi"/>
          <w:jc w:val="center"/>
        </w:pPr>
        <w:r>
          <w:rPr>
            <w:noProof/>
            <w:lang w:eastAsia="tr-TR"/>
          </w:rPr>
          <mc:AlternateContent>
            <mc:Choice Requires="wps">
              <w:drawing>
                <wp:inline distT="0" distB="0" distL="0" distR="0">
                  <wp:extent cx="5467350" cy="45085"/>
                  <wp:effectExtent l="9525" t="9525" r="0" b="2540"/>
                  <wp:docPr id="1" name="Akış Çizelgesi: Karar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BAD1241" id="_x0000_t110" coordsize="21600,21600" o:spt="110" path="m10800,l,10800,10800,21600,21600,10800xe">
                  <v:stroke joinstyle="miter"/>
                  <v:path gradientshapeok="t" o:connecttype="rect" textboxrect="5400,5400,16200,16200"/>
                </v:shapetype>
                <v:shape id="Akış Çizelgesi: Karar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" fillcolor="black" stroked="f">
                  <v:fill r:id="rId1" o:title="" type="pattern"/>
                  <w10:anchorlock/>
                </v:shape>
              </w:pict>
            </mc:Fallback>
          </mc:AlternateContent>
        </w:r>
      </w:p>
      <w:p w:rsidR="00B2114B" w:rsidRDefault="00B2114B">
        <w:pPr>
          <w:pStyle w:val="AltBilgi"/>
          <w:jc w:val="center"/>
        </w:pPr>
        <w:r>
          <w:fldChar w:fldCharType="begin"/>
        </w:r>
        <w:r>
          <w:instrText>PAGE    \* MERGEFORMAT</w:instrText>
        </w:r>
        <w:r>
          <w:fldChar w:fldCharType="separate"/>
        </w:r>
        <w:r w:rsidR="00C45601">
          <w:rPr>
            <w:noProof/>
          </w:rPr>
          <w:t>10</w:t>
        </w:r>
        <w:r>
          <w:fldChar w:fldCharType="end"/>
        </w:r>
      </w:p>
    </w:sdtContent>
  </w:sdt>
  <w:p w:rsidR="00B2114B" w:rsidRDefault="00B211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5B" w:rsidRDefault="0047575B" w:rsidP="00B2114B">
      <w:r>
        <w:separator/>
      </w:r>
    </w:p>
  </w:footnote>
  <w:footnote w:type="continuationSeparator" w:id="0">
    <w:p w:rsidR="0047575B" w:rsidRDefault="0047575B" w:rsidP="00B211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7F5"/>
    <w:multiLevelType w:val="hybridMultilevel"/>
    <w:tmpl w:val="9FAAEA10"/>
    <w:lvl w:ilvl="0" w:tplc="BE345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531"/>
    <w:multiLevelType w:val="hybridMultilevel"/>
    <w:tmpl w:val="C42C6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87BE0"/>
    <w:multiLevelType w:val="multilevel"/>
    <w:tmpl w:val="A830A236"/>
    <w:lvl w:ilvl="0">
      <w:numFmt w:val="decimal"/>
      <w:lvlText w:val="%1."/>
      <w:lvlJc w:val="left"/>
      <w:pPr>
        <w:ind w:left="360" w:hanging="360"/>
      </w:pPr>
      <w:rPr>
        <w:rFonts w:hint="default"/>
        <w:b w:val="0"/>
        <w:bCs w:val="0"/>
      </w:rPr>
    </w:lvl>
    <w:lvl w:ilvl="1">
      <w:start w:val="1"/>
      <w:numFmt w:val="lowerLetter"/>
      <w:lvlText w:val="%2)"/>
      <w:lvlJc w:val="left"/>
      <w:pPr>
        <w:ind w:left="792" w:hanging="432"/>
      </w:pPr>
      <w:rPr>
        <w:rFonts w:hint="default"/>
        <w:sz w:val="22"/>
        <w:szCs w:val="24"/>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7308D8"/>
    <w:multiLevelType w:val="hybridMultilevel"/>
    <w:tmpl w:val="D1985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2304F"/>
    <w:multiLevelType w:val="hybridMultilevel"/>
    <w:tmpl w:val="E310604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12F4766"/>
    <w:multiLevelType w:val="multilevel"/>
    <w:tmpl w:val="8CEA72F6"/>
    <w:lvl w:ilvl="0">
      <w:start w:val="1"/>
      <w:numFmt w:val="decimal"/>
      <w:lvlText w:val="%1."/>
      <w:lvlJc w:val="left"/>
      <w:pPr>
        <w:ind w:left="360" w:hanging="360"/>
      </w:pPr>
    </w:lvl>
    <w:lvl w:ilvl="1">
      <w:start w:val="1"/>
      <w:numFmt w:val="decimal"/>
      <w:pStyle w:val="Balk2"/>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E0"/>
    <w:rsid w:val="00003847"/>
    <w:rsid w:val="000600A7"/>
    <w:rsid w:val="000656D1"/>
    <w:rsid w:val="000A071D"/>
    <w:rsid w:val="000A5C0F"/>
    <w:rsid w:val="00106A24"/>
    <w:rsid w:val="00124F3C"/>
    <w:rsid w:val="001353CD"/>
    <w:rsid w:val="00140D74"/>
    <w:rsid w:val="00141BCB"/>
    <w:rsid w:val="0014253F"/>
    <w:rsid w:val="00154373"/>
    <w:rsid w:val="0015525E"/>
    <w:rsid w:val="00157FE7"/>
    <w:rsid w:val="00190208"/>
    <w:rsid w:val="0019218C"/>
    <w:rsid w:val="001A40A1"/>
    <w:rsid w:val="001B4319"/>
    <w:rsid w:val="001E1938"/>
    <w:rsid w:val="001F514A"/>
    <w:rsid w:val="001F62AF"/>
    <w:rsid w:val="001F6718"/>
    <w:rsid w:val="00217C53"/>
    <w:rsid w:val="00235976"/>
    <w:rsid w:val="002433DB"/>
    <w:rsid w:val="00253FD9"/>
    <w:rsid w:val="002653D2"/>
    <w:rsid w:val="00275540"/>
    <w:rsid w:val="002D5C15"/>
    <w:rsid w:val="00304AA7"/>
    <w:rsid w:val="003071B5"/>
    <w:rsid w:val="00323AF5"/>
    <w:rsid w:val="00337E44"/>
    <w:rsid w:val="00345FEF"/>
    <w:rsid w:val="003524B9"/>
    <w:rsid w:val="003621E2"/>
    <w:rsid w:val="00383B1F"/>
    <w:rsid w:val="003C5F8A"/>
    <w:rsid w:val="003F6807"/>
    <w:rsid w:val="003F76E1"/>
    <w:rsid w:val="00401D58"/>
    <w:rsid w:val="00435152"/>
    <w:rsid w:val="00452D5D"/>
    <w:rsid w:val="004533E0"/>
    <w:rsid w:val="00462147"/>
    <w:rsid w:val="00464C7A"/>
    <w:rsid w:val="0047575B"/>
    <w:rsid w:val="00481833"/>
    <w:rsid w:val="004C67EE"/>
    <w:rsid w:val="004D4B8F"/>
    <w:rsid w:val="004F7B9C"/>
    <w:rsid w:val="00511EEF"/>
    <w:rsid w:val="00543B7F"/>
    <w:rsid w:val="00563DE1"/>
    <w:rsid w:val="00571A4C"/>
    <w:rsid w:val="00582B91"/>
    <w:rsid w:val="00592FBF"/>
    <w:rsid w:val="005942EE"/>
    <w:rsid w:val="0059527F"/>
    <w:rsid w:val="005A6072"/>
    <w:rsid w:val="005C24F2"/>
    <w:rsid w:val="005C725A"/>
    <w:rsid w:val="00631035"/>
    <w:rsid w:val="00667366"/>
    <w:rsid w:val="0069550A"/>
    <w:rsid w:val="006A1A65"/>
    <w:rsid w:val="006C63E1"/>
    <w:rsid w:val="00763D95"/>
    <w:rsid w:val="007712D9"/>
    <w:rsid w:val="007B455B"/>
    <w:rsid w:val="007C658F"/>
    <w:rsid w:val="007D3BC6"/>
    <w:rsid w:val="007E6FDB"/>
    <w:rsid w:val="007F20EA"/>
    <w:rsid w:val="00823F6D"/>
    <w:rsid w:val="0083394C"/>
    <w:rsid w:val="008411C0"/>
    <w:rsid w:val="008A0BA5"/>
    <w:rsid w:val="008C0CB2"/>
    <w:rsid w:val="008C3F67"/>
    <w:rsid w:val="008C5AF4"/>
    <w:rsid w:val="008C5D9A"/>
    <w:rsid w:val="008E2E57"/>
    <w:rsid w:val="008E44AD"/>
    <w:rsid w:val="008F6EBD"/>
    <w:rsid w:val="008F7429"/>
    <w:rsid w:val="00927C12"/>
    <w:rsid w:val="00937347"/>
    <w:rsid w:val="00952A93"/>
    <w:rsid w:val="0095632E"/>
    <w:rsid w:val="00962404"/>
    <w:rsid w:val="00974ACA"/>
    <w:rsid w:val="009918F6"/>
    <w:rsid w:val="009953ED"/>
    <w:rsid w:val="009967AA"/>
    <w:rsid w:val="009B5F65"/>
    <w:rsid w:val="009E2AEF"/>
    <w:rsid w:val="009F1BD4"/>
    <w:rsid w:val="00A03196"/>
    <w:rsid w:val="00A148B4"/>
    <w:rsid w:val="00A14CAC"/>
    <w:rsid w:val="00A261C0"/>
    <w:rsid w:val="00A307C3"/>
    <w:rsid w:val="00A4203D"/>
    <w:rsid w:val="00A72CDD"/>
    <w:rsid w:val="00A73C8B"/>
    <w:rsid w:val="00A85EBB"/>
    <w:rsid w:val="00A94F39"/>
    <w:rsid w:val="00A969A4"/>
    <w:rsid w:val="00AB25DA"/>
    <w:rsid w:val="00AC1142"/>
    <w:rsid w:val="00AF275F"/>
    <w:rsid w:val="00B05982"/>
    <w:rsid w:val="00B14D68"/>
    <w:rsid w:val="00B2114B"/>
    <w:rsid w:val="00B2292F"/>
    <w:rsid w:val="00B234F4"/>
    <w:rsid w:val="00B2752A"/>
    <w:rsid w:val="00B357D0"/>
    <w:rsid w:val="00B47449"/>
    <w:rsid w:val="00B67503"/>
    <w:rsid w:val="00B875BE"/>
    <w:rsid w:val="00B95D0B"/>
    <w:rsid w:val="00BB6FE1"/>
    <w:rsid w:val="00BC7E07"/>
    <w:rsid w:val="00C11AD2"/>
    <w:rsid w:val="00C1386F"/>
    <w:rsid w:val="00C45601"/>
    <w:rsid w:val="00C7667B"/>
    <w:rsid w:val="00C76CA7"/>
    <w:rsid w:val="00C84212"/>
    <w:rsid w:val="00CA144B"/>
    <w:rsid w:val="00CA1FD3"/>
    <w:rsid w:val="00CB0A4C"/>
    <w:rsid w:val="00CD3194"/>
    <w:rsid w:val="00D11DF8"/>
    <w:rsid w:val="00D132AA"/>
    <w:rsid w:val="00D146F7"/>
    <w:rsid w:val="00D2684D"/>
    <w:rsid w:val="00D40B6B"/>
    <w:rsid w:val="00D91CDD"/>
    <w:rsid w:val="00DA3674"/>
    <w:rsid w:val="00E10CD1"/>
    <w:rsid w:val="00E123BA"/>
    <w:rsid w:val="00E3288B"/>
    <w:rsid w:val="00E34753"/>
    <w:rsid w:val="00E47E87"/>
    <w:rsid w:val="00E70443"/>
    <w:rsid w:val="00E83197"/>
    <w:rsid w:val="00E83E06"/>
    <w:rsid w:val="00E86A06"/>
    <w:rsid w:val="00E97B6F"/>
    <w:rsid w:val="00ED4A81"/>
    <w:rsid w:val="00F149B8"/>
    <w:rsid w:val="00F20329"/>
    <w:rsid w:val="00F241F7"/>
    <w:rsid w:val="00F25A66"/>
    <w:rsid w:val="00F3516A"/>
    <w:rsid w:val="00F55BFB"/>
    <w:rsid w:val="00F61E53"/>
    <w:rsid w:val="00F725F9"/>
    <w:rsid w:val="00F74F05"/>
    <w:rsid w:val="00FD1523"/>
    <w:rsid w:val="00FD1A28"/>
    <w:rsid w:val="00FD7A32"/>
    <w:rsid w:val="00FE603C"/>
    <w:rsid w:val="00FF2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FF28C1-084B-4969-9432-7A94A8B4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33E0"/>
    <w:pPr>
      <w:widowControl w:val="0"/>
      <w:spacing w:after="0" w:line="240" w:lineRule="auto"/>
    </w:pPr>
  </w:style>
  <w:style w:type="paragraph" w:styleId="Balk1">
    <w:name w:val="heading 1"/>
    <w:basedOn w:val="Normal"/>
    <w:link w:val="Balk1Char"/>
    <w:uiPriority w:val="1"/>
    <w:qFormat/>
    <w:rsid w:val="004533E0"/>
    <w:pPr>
      <w:spacing w:before="120" w:after="120"/>
      <w:ind w:left="567" w:right="40" w:hanging="567"/>
      <w:jc w:val="both"/>
      <w:outlineLvl w:val="0"/>
    </w:pPr>
    <w:rPr>
      <w:rFonts w:ascii="Times New Roman" w:eastAsia="Times New Roman" w:hAnsi="Times New Roman" w:cs="Times New Roman"/>
      <w:b/>
      <w:bCs/>
      <w:sz w:val="32"/>
      <w:szCs w:val="32"/>
    </w:rPr>
  </w:style>
  <w:style w:type="paragraph" w:styleId="Balk2">
    <w:name w:val="heading 2"/>
    <w:basedOn w:val="ListeParagraf"/>
    <w:link w:val="Balk2Char"/>
    <w:autoRedefine/>
    <w:uiPriority w:val="1"/>
    <w:qFormat/>
    <w:rsid w:val="004533E0"/>
    <w:pPr>
      <w:widowControl/>
      <w:numPr>
        <w:ilvl w:val="1"/>
        <w:numId w:val="1"/>
      </w:numPr>
      <w:spacing w:before="240" w:after="240"/>
      <w:ind w:left="709" w:hanging="709"/>
      <w:jc w:val="both"/>
      <w:outlineLvl w:val="1"/>
    </w:pPr>
    <w:rPr>
      <w:rFonts w:ascii="Arial" w:eastAsia="Calibri" w:hAnsi="Arial" w:cs="Arial"/>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533E0"/>
    <w:rPr>
      <w:rFonts w:ascii="Times New Roman" w:eastAsia="Times New Roman" w:hAnsi="Times New Roman" w:cs="Times New Roman"/>
      <w:b/>
      <w:bCs/>
      <w:sz w:val="32"/>
      <w:szCs w:val="32"/>
    </w:rPr>
  </w:style>
  <w:style w:type="character" w:customStyle="1" w:styleId="Balk2Char">
    <w:name w:val="Başlık 2 Char"/>
    <w:basedOn w:val="VarsaylanParagrafYazTipi"/>
    <w:link w:val="Balk2"/>
    <w:uiPriority w:val="1"/>
    <w:rsid w:val="004533E0"/>
    <w:rPr>
      <w:rFonts w:ascii="Arial" w:eastAsia="Calibri" w:hAnsi="Arial" w:cs="Arial"/>
      <w:b/>
      <w:sz w:val="26"/>
      <w:szCs w:val="26"/>
    </w:rPr>
  </w:style>
  <w:style w:type="paragraph" w:styleId="GvdeMetni">
    <w:name w:val="Body Text"/>
    <w:basedOn w:val="Normal"/>
    <w:link w:val="GvdeMetniChar"/>
    <w:uiPriority w:val="1"/>
    <w:qFormat/>
    <w:rsid w:val="004533E0"/>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4533E0"/>
    <w:rPr>
      <w:rFonts w:ascii="Times New Roman" w:eastAsia="Times New Roman" w:hAnsi="Times New Roman"/>
      <w:sz w:val="24"/>
      <w:szCs w:val="24"/>
    </w:rPr>
  </w:style>
  <w:style w:type="paragraph" w:styleId="ListeParagraf">
    <w:name w:val="List Paragraph"/>
    <w:basedOn w:val="Normal"/>
    <w:uiPriority w:val="34"/>
    <w:qFormat/>
    <w:rsid w:val="004533E0"/>
  </w:style>
  <w:style w:type="character" w:styleId="Kpr">
    <w:name w:val="Hyperlink"/>
    <w:basedOn w:val="VarsaylanParagrafYazTipi"/>
    <w:uiPriority w:val="99"/>
    <w:unhideWhenUsed/>
    <w:rsid w:val="004533E0"/>
    <w:rPr>
      <w:color w:val="0563C1" w:themeColor="hyperlink"/>
      <w:u w:val="single"/>
    </w:rPr>
  </w:style>
  <w:style w:type="paragraph" w:styleId="NormalWeb">
    <w:name w:val="Normal (Web)"/>
    <w:basedOn w:val="Normal"/>
    <w:uiPriority w:val="99"/>
    <w:unhideWhenUsed/>
    <w:rsid w:val="004533E0"/>
    <w:pPr>
      <w:widowControl/>
    </w:pPr>
    <w:rPr>
      <w:rFonts w:ascii="Times New Roman" w:hAnsi="Times New Roman" w:cs="Times New Roman"/>
      <w:sz w:val="24"/>
      <w:szCs w:val="24"/>
      <w:lang w:val="en-US"/>
    </w:rPr>
  </w:style>
  <w:style w:type="paragraph" w:styleId="stBilgi">
    <w:name w:val="header"/>
    <w:basedOn w:val="Normal"/>
    <w:link w:val="stBilgiChar"/>
    <w:uiPriority w:val="99"/>
    <w:unhideWhenUsed/>
    <w:rsid w:val="00B2114B"/>
    <w:pPr>
      <w:tabs>
        <w:tab w:val="center" w:pos="4536"/>
        <w:tab w:val="right" w:pos="9072"/>
      </w:tabs>
    </w:pPr>
  </w:style>
  <w:style w:type="character" w:customStyle="1" w:styleId="stBilgiChar">
    <w:name w:val="Üst Bilgi Char"/>
    <w:basedOn w:val="VarsaylanParagrafYazTipi"/>
    <w:link w:val="stBilgi"/>
    <w:uiPriority w:val="99"/>
    <w:rsid w:val="00B2114B"/>
  </w:style>
  <w:style w:type="paragraph" w:styleId="AltBilgi">
    <w:name w:val="footer"/>
    <w:basedOn w:val="Normal"/>
    <w:link w:val="AltBilgiChar"/>
    <w:uiPriority w:val="99"/>
    <w:unhideWhenUsed/>
    <w:rsid w:val="00B2114B"/>
    <w:pPr>
      <w:tabs>
        <w:tab w:val="center" w:pos="4536"/>
        <w:tab w:val="right" w:pos="9072"/>
      </w:tabs>
    </w:pPr>
  </w:style>
  <w:style w:type="character" w:customStyle="1" w:styleId="AltBilgiChar">
    <w:name w:val="Alt Bilgi Char"/>
    <w:basedOn w:val="VarsaylanParagrafYazTipi"/>
    <w:link w:val="AltBilgi"/>
    <w:uiPriority w:val="99"/>
    <w:rsid w:val="00B2114B"/>
  </w:style>
  <w:style w:type="character" w:styleId="zlenenKpr">
    <w:name w:val="FollowedHyperlink"/>
    <w:basedOn w:val="VarsaylanParagrafYazTipi"/>
    <w:uiPriority w:val="99"/>
    <w:semiHidden/>
    <w:unhideWhenUsed/>
    <w:rsid w:val="009E2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ilim-my.sharepoint.com/:f:/g/personal/kidr_atilim_edu_tr/Er1U6Wcs59xEtAdzP-TsL4EB4fFIt9BVYeNBFLOTDxMq-Q?e=XJ4Mtw" TargetMode="External"/><Relationship Id="rId13" Type="http://schemas.openxmlformats.org/officeDocument/2006/relationships/hyperlink" Target="https://atilim-my.sharepoint.com/:f:/g/personal/kidr_atilim_edu_tr/Er1U6Wcs59xEtAdzP-TsL4EB4fFIt9BVYeNBFLOTDxMq-Q?e=XJ4Mtw" TargetMode="External"/><Relationship Id="rId18" Type="http://schemas.openxmlformats.org/officeDocument/2006/relationships/hyperlink" Target="http://www.miak.org" TargetMode="External"/><Relationship Id="rId3" Type="http://schemas.openxmlformats.org/officeDocument/2006/relationships/settings" Target="settings.xml"/><Relationship Id="rId21" Type="http://schemas.openxmlformats.org/officeDocument/2006/relationships/hyperlink" Target="https://www.atilim.edu.tr/tr/tm/page/4624/turak-akreditasyonumuz" TargetMode="External"/><Relationship Id="rId7" Type="http://schemas.openxmlformats.org/officeDocument/2006/relationships/hyperlink" Target="https://www.atilim.edu.tr/tr/home/page/4626/stratejik-planlama" TargetMode="External"/><Relationship Id="rId12" Type="http://schemas.openxmlformats.org/officeDocument/2006/relationships/hyperlink" Target="https://atilim-my.sharepoint.com/:f:/g/personal/kidr_atilim_edu_tr/Er1U6Wcs59xEtAdzP-TsL4EB4fFIt9BVYeNBFLOTDxMq-Q?e=XJ4Mtw" TargetMode="External"/><Relationship Id="rId17" Type="http://schemas.openxmlformats.org/officeDocument/2006/relationships/hyperlink" Target="https://www.atilim.edu.tr/tr/artsci/page/4452/fedek-akreditasyonlarimi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aee.eu/" TargetMode="External"/><Relationship Id="rId20" Type="http://schemas.openxmlformats.org/officeDocument/2006/relationships/hyperlink" Target="http://tura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ilim.edu.tr/tr/home/event/3579/atilim-universitesi-ogrenci-calistay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c.atilim.edu.tr/tr" TargetMode="External"/><Relationship Id="rId23" Type="http://schemas.openxmlformats.org/officeDocument/2006/relationships/footer" Target="footer1.xml"/><Relationship Id="rId10" Type="http://schemas.openxmlformats.org/officeDocument/2006/relationships/hyperlink" Target="https://www.atilim.edu.tr/tr/home/news/4537/bugun-ve-gelecek-icin-ogrencilerimizle-bulustuk" TargetMode="External"/><Relationship Id="rId19" Type="http://schemas.openxmlformats.org/officeDocument/2006/relationships/hyperlink" Target="http://www.eaae.be" TargetMode="External"/><Relationship Id="rId4" Type="http://schemas.openxmlformats.org/officeDocument/2006/relationships/webSettings" Target="webSettings.xml"/><Relationship Id="rId9" Type="http://schemas.openxmlformats.org/officeDocument/2006/relationships/hyperlink" Target="https://www.atilim.edu.tr/tr/home/news/4508/atilim-universitesi-stratejik-yonetim-calistayi-kibris&#8217;ta-gerceklestirildi" TargetMode="External"/><Relationship Id="rId14" Type="http://schemas.openxmlformats.org/officeDocument/2006/relationships/hyperlink" Target="https://ic.atilim.edu.tr/page/15/partner-universities" TargetMode="External"/><Relationship Id="rId22" Type="http://schemas.openxmlformats.org/officeDocument/2006/relationships/hyperlink" Target="https://atilim-my.sharepoint.com/:f:/g/personal/kidr_atilim_edu_tr/Er1U6Wcs59xEtAdzP-TsL4EB4fFIt9BVYeNBFLOTDxMq-Q?e=XJ4M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11</Pages>
  <Words>5292</Words>
  <Characters>30171</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A.KaliteGuvenceSistemi</vt:lpstr>
    </vt:vector>
  </TitlesOfParts>
  <Manager>ERK</Manager>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A.KaliteGuvenceSistemi</dc:title>
  <dc:subject>A.KaliteGuvenceSistemi</dc:subject>
  <dc:creator>ERK</dc:creator>
  <cp:keywords>A.KaliteGuvenceSistemi</cp:keywords>
  <dc:description/>
  <cp:lastModifiedBy>Admin</cp:lastModifiedBy>
  <cp:revision>196</cp:revision>
  <dcterms:created xsi:type="dcterms:W3CDTF">2020-02-14T06:49:00Z</dcterms:created>
  <dcterms:modified xsi:type="dcterms:W3CDTF">2020-02-24T07:53:00Z</dcterms:modified>
</cp:coreProperties>
</file>