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FA7" w:rsidRPr="000D63A0" w:rsidRDefault="00D01FA7" w:rsidP="00D01FA7">
      <w:pPr>
        <w:pStyle w:val="Balk1"/>
      </w:pPr>
      <w:bookmarkStart w:id="0" w:name="_Toc5190561"/>
      <w:r>
        <w:t>4</w:t>
      </w:r>
      <w:r w:rsidRPr="000D63A0">
        <w:t>. ARAŞT</w:t>
      </w:r>
      <w:r w:rsidRPr="000D63A0">
        <w:rPr>
          <w:spacing w:val="2"/>
        </w:rPr>
        <w:t>I</w:t>
      </w:r>
      <w:r w:rsidRPr="000D63A0">
        <w:rPr>
          <w:spacing w:val="1"/>
        </w:rPr>
        <w:t>R</w:t>
      </w:r>
      <w:r w:rsidRPr="000D63A0">
        <w:rPr>
          <w:spacing w:val="-6"/>
        </w:rPr>
        <w:t>M</w:t>
      </w:r>
      <w:r w:rsidRPr="000D63A0">
        <w:t>A</w:t>
      </w:r>
      <w:r w:rsidR="00FE66D5">
        <w:rPr>
          <w:spacing w:val="-8"/>
        </w:rPr>
        <w:t xml:space="preserve"> ve</w:t>
      </w:r>
      <w:r>
        <w:rPr>
          <w:spacing w:val="-8"/>
        </w:rPr>
        <w:t xml:space="preserve"> </w:t>
      </w:r>
      <w:r w:rsidRPr="000D63A0">
        <w:rPr>
          <w:spacing w:val="-2"/>
        </w:rPr>
        <w:t>G</w:t>
      </w:r>
      <w:r w:rsidRPr="000D63A0">
        <w:t>ELİŞT</w:t>
      </w:r>
      <w:r w:rsidRPr="000D63A0">
        <w:rPr>
          <w:spacing w:val="2"/>
        </w:rPr>
        <w:t>İ</w:t>
      </w:r>
      <w:r w:rsidRPr="000D63A0">
        <w:rPr>
          <w:spacing w:val="1"/>
        </w:rPr>
        <w:t>R</w:t>
      </w:r>
      <w:r w:rsidRPr="000D63A0">
        <w:rPr>
          <w:spacing w:val="-2"/>
        </w:rPr>
        <w:t>M</w:t>
      </w:r>
      <w:r w:rsidRPr="000D63A0">
        <w:t xml:space="preserve">E </w:t>
      </w:r>
      <w:bookmarkEnd w:id="0"/>
    </w:p>
    <w:p w:rsidR="00D01FA7" w:rsidRPr="000E4080" w:rsidRDefault="00D01FA7" w:rsidP="00D01FA7">
      <w:pPr>
        <w:pStyle w:val="ListeParagraf"/>
        <w:widowControl/>
        <w:numPr>
          <w:ilvl w:val="0"/>
          <w:numId w:val="1"/>
        </w:numPr>
        <w:spacing w:before="240" w:after="240"/>
        <w:jc w:val="both"/>
        <w:outlineLvl w:val="1"/>
        <w:rPr>
          <w:rFonts w:ascii="Arial" w:eastAsia="Calibri" w:hAnsi="Arial" w:cs="Arial"/>
          <w:b/>
          <w:vanish/>
          <w:sz w:val="26"/>
          <w:szCs w:val="26"/>
        </w:rPr>
      </w:pPr>
      <w:bookmarkStart w:id="1" w:name="_Toc4158174"/>
      <w:bookmarkStart w:id="2" w:name="_Toc4280182"/>
      <w:bookmarkStart w:id="3" w:name="_Toc4415634"/>
      <w:bookmarkStart w:id="4" w:name="_Toc5190562"/>
      <w:bookmarkStart w:id="5" w:name="_Toc534375314"/>
      <w:bookmarkEnd w:id="1"/>
      <w:bookmarkEnd w:id="2"/>
      <w:bookmarkEnd w:id="3"/>
      <w:bookmarkEnd w:id="4"/>
    </w:p>
    <w:p w:rsidR="00D01FA7" w:rsidRPr="004661A7" w:rsidRDefault="00B01600" w:rsidP="00B01600">
      <w:pPr>
        <w:pStyle w:val="Balk2"/>
        <w:numPr>
          <w:ilvl w:val="0"/>
          <w:numId w:val="0"/>
        </w:numPr>
        <w:ind w:left="360"/>
      </w:pPr>
      <w:bookmarkStart w:id="6" w:name="_Toc5190563"/>
      <w:r>
        <w:t xml:space="preserve">C.1. </w:t>
      </w:r>
      <w:r w:rsidR="00D01FA7" w:rsidRPr="000E4080">
        <w:t xml:space="preserve">Araştırma Stratejisi </w:t>
      </w:r>
      <w:bookmarkEnd w:id="5"/>
      <w:bookmarkEnd w:id="6"/>
    </w:p>
    <w:p w:rsidR="00D01FA7" w:rsidRPr="00F04BBF" w:rsidRDefault="00D01FA7" w:rsidP="005C41C4">
      <w:pPr>
        <w:spacing w:after="160" w:line="259" w:lineRule="auto"/>
        <w:jc w:val="both"/>
        <w:rPr>
          <w:rFonts w:ascii="Times New Roman" w:hAnsi="Times New Roman" w:cs="Times New Roman"/>
          <w:sz w:val="24"/>
        </w:rPr>
      </w:pPr>
      <w:r w:rsidRPr="00F04BBF">
        <w:rPr>
          <w:rFonts w:ascii="Times New Roman" w:hAnsi="Times New Roman" w:cs="Times New Roman"/>
          <w:sz w:val="24"/>
        </w:rPr>
        <w:t xml:space="preserve">Atılım Üniversitesi araştırma politikalarını “Eğitimde ve araştırmada Türkiye’de ilk 10, dünyada ilk 500 üniversite içerisinde sürekli yer almak” şeklinde belirlenmiş olan </w:t>
      </w:r>
      <w:proofErr w:type="gramStart"/>
      <w:r w:rsidR="008A5FB9">
        <w:rPr>
          <w:rFonts w:ascii="Times New Roman" w:hAnsi="Times New Roman" w:cs="Times New Roman"/>
          <w:sz w:val="24"/>
        </w:rPr>
        <w:t>vizyonu</w:t>
      </w:r>
      <w:proofErr w:type="gramEnd"/>
      <w:r w:rsidRPr="00F04BBF">
        <w:rPr>
          <w:rFonts w:ascii="Times New Roman" w:hAnsi="Times New Roman" w:cs="Times New Roman"/>
          <w:sz w:val="24"/>
        </w:rPr>
        <w:t xml:space="preserve"> çerçevesinde şekillendirmektedir. Bilinirliği ve güvenilirliği yüksek olan ulusal ve uluslararası sıralama kuruluşları tarafından belirlenmiş ve evrensel boyutta kabul görmüş ölçütler çerçevesinde bilimsel katkılarda bulunmak temel hedeftir. </w:t>
      </w:r>
      <w:r w:rsidR="00E65335">
        <w:rPr>
          <w:rFonts w:ascii="Times New Roman" w:eastAsia="Calibri" w:hAnsi="Times New Roman" w:cs="Times New Roman"/>
          <w:sz w:val="24"/>
        </w:rPr>
        <w:t>Stratejik plan 2020-2024 dönemi çalışmaları kapsamında; stratejik öncelikli alan olarak “Araştırma</w:t>
      </w:r>
      <w:r w:rsidR="00422F9D">
        <w:rPr>
          <w:rFonts w:ascii="Times New Roman" w:eastAsia="Calibri" w:hAnsi="Times New Roman" w:cs="Times New Roman"/>
          <w:sz w:val="24"/>
        </w:rPr>
        <w:t xml:space="preserve"> </w:t>
      </w:r>
      <w:r w:rsidR="00E65335">
        <w:rPr>
          <w:rFonts w:ascii="Times New Roman" w:eastAsia="Calibri" w:hAnsi="Times New Roman" w:cs="Times New Roman"/>
          <w:sz w:val="24"/>
        </w:rPr>
        <w:t>- Ge</w:t>
      </w:r>
      <w:r w:rsidR="00BC6CBD">
        <w:rPr>
          <w:rFonts w:ascii="Times New Roman" w:eastAsia="Calibri" w:hAnsi="Times New Roman" w:cs="Times New Roman"/>
          <w:sz w:val="24"/>
        </w:rPr>
        <w:t xml:space="preserve">liştirme ve </w:t>
      </w:r>
      <w:proofErr w:type="spellStart"/>
      <w:r w:rsidR="00BC6CBD">
        <w:rPr>
          <w:rFonts w:ascii="Times New Roman" w:eastAsia="Calibri" w:hAnsi="Times New Roman" w:cs="Times New Roman"/>
          <w:sz w:val="24"/>
        </w:rPr>
        <w:t>İnovasyon</w:t>
      </w:r>
      <w:proofErr w:type="spellEnd"/>
      <w:r w:rsidR="00BC6CBD">
        <w:rPr>
          <w:rFonts w:ascii="Times New Roman" w:eastAsia="Calibri" w:hAnsi="Times New Roman" w:cs="Times New Roman"/>
          <w:sz w:val="24"/>
        </w:rPr>
        <w:t>” başlığı adı altında</w:t>
      </w:r>
      <w:r w:rsidR="00E65335">
        <w:rPr>
          <w:rFonts w:ascii="Times New Roman" w:eastAsia="Calibri" w:hAnsi="Times New Roman" w:cs="Times New Roman"/>
          <w:sz w:val="24"/>
        </w:rPr>
        <w:t xml:space="preserve"> özel çalışmalar yürütülmüştür. Üniversitemizin; </w:t>
      </w:r>
      <w:r w:rsidR="00422F9D">
        <w:rPr>
          <w:rFonts w:ascii="Times New Roman" w:eastAsia="Calibri" w:hAnsi="Times New Roman" w:cs="Times New Roman"/>
          <w:sz w:val="24"/>
        </w:rPr>
        <w:t xml:space="preserve">“Ar-Ge ve </w:t>
      </w:r>
      <w:proofErr w:type="spellStart"/>
      <w:r w:rsidR="00422F9D">
        <w:rPr>
          <w:rFonts w:ascii="Times New Roman" w:eastAsia="Calibri" w:hAnsi="Times New Roman" w:cs="Times New Roman"/>
          <w:sz w:val="24"/>
        </w:rPr>
        <w:t>İnovasyon</w:t>
      </w:r>
      <w:proofErr w:type="spellEnd"/>
      <w:r w:rsidR="00422F9D">
        <w:rPr>
          <w:rFonts w:ascii="Times New Roman" w:eastAsia="Calibri" w:hAnsi="Times New Roman" w:cs="Times New Roman"/>
          <w:sz w:val="24"/>
        </w:rPr>
        <w:t>”</w:t>
      </w:r>
      <w:r w:rsidR="00E65335">
        <w:rPr>
          <w:rFonts w:ascii="Times New Roman" w:eastAsia="Calibri" w:hAnsi="Times New Roman" w:cs="Times New Roman"/>
          <w:sz w:val="24"/>
        </w:rPr>
        <w:t xml:space="preserve"> alanında sunduğu altyapı ve niteliklerin iyileştirilmesine dair stratejik amaç, stratejik hedef, performans göstergeleri ve diğer parametrelerle </w:t>
      </w:r>
      <w:proofErr w:type="gramStart"/>
      <w:r w:rsidR="00E65335">
        <w:rPr>
          <w:rFonts w:ascii="Times New Roman" w:eastAsia="Calibri" w:hAnsi="Times New Roman" w:cs="Times New Roman"/>
          <w:sz w:val="24"/>
        </w:rPr>
        <w:t>entegre</w:t>
      </w:r>
      <w:proofErr w:type="gramEnd"/>
      <w:r w:rsidR="00E65335">
        <w:rPr>
          <w:rFonts w:ascii="Times New Roman" w:eastAsia="Calibri" w:hAnsi="Times New Roman" w:cs="Times New Roman"/>
          <w:sz w:val="24"/>
        </w:rPr>
        <w:t xml:space="preserve"> bir mekanizma üzerinden yönetilmesi hedeflenmiştir.</w:t>
      </w:r>
      <w:r w:rsidR="00850C0D">
        <w:rPr>
          <w:rFonts w:ascii="Times New Roman" w:eastAsia="Calibri" w:hAnsi="Times New Roman" w:cs="Times New Roman"/>
          <w:sz w:val="24"/>
        </w:rPr>
        <w:t xml:space="preserve"> Bu çalışmadan hariç; hali hazırda cari olan stratejik plan kapsamında; 3 ayrı stratejik amaç ve bunlara bağlı stratejik hedef, performans göstergeleriyle </w:t>
      </w:r>
      <w:hyperlink r:id="rId7" w:history="1">
        <w:r w:rsidR="00850C0D" w:rsidRPr="003C0960">
          <w:rPr>
            <w:rStyle w:val="Kpr"/>
            <w:rFonts w:ascii="Times New Roman" w:eastAsia="Calibri" w:hAnsi="Times New Roman" w:cs="Times New Roman"/>
            <w:sz w:val="24"/>
          </w:rPr>
          <w:t>Üniversite’nin “araştırma” stratejisi</w:t>
        </w:r>
      </w:hyperlink>
      <w:r w:rsidR="00850C0D">
        <w:rPr>
          <w:rFonts w:ascii="Times New Roman" w:eastAsia="Calibri" w:hAnsi="Times New Roman" w:cs="Times New Roman"/>
          <w:sz w:val="24"/>
        </w:rPr>
        <w:t>nin altı doldurulmuş durumdadır.</w:t>
      </w:r>
    </w:p>
    <w:p w:rsidR="006B2D47" w:rsidRPr="006B2D47" w:rsidRDefault="006B2D47" w:rsidP="006B2D47">
      <w:pPr>
        <w:jc w:val="both"/>
        <w:rPr>
          <w:rFonts w:ascii="Times New Roman" w:hAnsi="Times New Roman" w:cs="Times New Roman"/>
          <w:sz w:val="24"/>
          <w:szCs w:val="24"/>
        </w:rPr>
      </w:pPr>
      <w:r w:rsidRPr="006B2D47">
        <w:rPr>
          <w:rFonts w:ascii="Times New Roman" w:hAnsi="Times New Roman" w:cs="Times New Roman"/>
          <w:sz w:val="24"/>
          <w:szCs w:val="24"/>
        </w:rPr>
        <w:t>Her takvim yılı için belirlenen “Araştırma Hacim-Kalite Ölçütleri ve Hedefleri” stratejilerimize ilişkin bilgilerin çoğunu içermekte olup bu belge yıllar bazında güncellenerek yeni hedeflere uygun hale getirilmektedir.</w:t>
      </w:r>
      <w:r w:rsidRPr="006B2D47">
        <w:rPr>
          <w:rFonts w:ascii="Times New Roman" w:hAnsi="Times New Roman" w:cs="Times New Roman"/>
        </w:rPr>
        <w:t xml:space="preserve"> </w:t>
      </w:r>
      <w:r w:rsidRPr="006B2D47">
        <w:rPr>
          <w:rFonts w:ascii="Times New Roman" w:hAnsi="Times New Roman" w:cs="Times New Roman"/>
          <w:sz w:val="24"/>
          <w:szCs w:val="24"/>
        </w:rPr>
        <w:t xml:space="preserve">Üniversitemizin araştırma hacim ve kalite ölçütleri belirlenirken dünyada öne çıkan sıralama kuruluşlarının kullandığı ölçütler azami derecede dikkate alınmaktadır. Bu ölçütler yalnızca araştırma hacim ölçütlerinin belirlenmesinde değil, akademik performans değerlendirme sistemi kurgusuna da dâhil edilmektedir. </w:t>
      </w:r>
    </w:p>
    <w:p w:rsidR="006B2D47" w:rsidRDefault="006B2D47" w:rsidP="006B2D47">
      <w:pPr>
        <w:jc w:val="both"/>
        <w:rPr>
          <w:sz w:val="24"/>
          <w:szCs w:val="24"/>
        </w:rPr>
      </w:pPr>
    </w:p>
    <w:p w:rsidR="006B2D47" w:rsidRDefault="005F03CA" w:rsidP="006B2D47">
      <w:pPr>
        <w:jc w:val="both"/>
        <w:rPr>
          <w:sz w:val="24"/>
          <w:szCs w:val="24"/>
        </w:rPr>
      </w:pPr>
      <w:hyperlink r:id="rId8" w:history="1">
        <w:r w:rsidR="006B2D47" w:rsidRPr="00AA20C7">
          <w:rPr>
            <w:rStyle w:val="Kpr"/>
            <w:rFonts w:ascii="Times New Roman" w:hAnsi="Times New Roman" w:cs="Times New Roman"/>
            <w:sz w:val="24"/>
            <w:szCs w:val="24"/>
          </w:rPr>
          <w:t>Ü</w:t>
        </w:r>
        <w:r w:rsidR="00AA20C7" w:rsidRPr="00AA20C7">
          <w:rPr>
            <w:rStyle w:val="Kpr"/>
            <w:rFonts w:ascii="Times New Roman" w:hAnsi="Times New Roman" w:cs="Times New Roman"/>
            <w:sz w:val="24"/>
            <w:szCs w:val="24"/>
          </w:rPr>
          <w:t xml:space="preserve">niversitenin araştırma </w:t>
        </w:r>
        <w:proofErr w:type="spellStart"/>
        <w:r w:rsidR="00AA20C7" w:rsidRPr="00AA20C7">
          <w:rPr>
            <w:rStyle w:val="Kpr"/>
            <w:rFonts w:ascii="Times New Roman" w:hAnsi="Times New Roman" w:cs="Times New Roman"/>
            <w:sz w:val="24"/>
            <w:szCs w:val="24"/>
          </w:rPr>
          <w:t>politikaları</w:t>
        </w:r>
      </w:hyperlink>
      <w:r w:rsidR="00AA20C7">
        <w:rPr>
          <w:rFonts w:ascii="Times New Roman" w:hAnsi="Times New Roman" w:cs="Times New Roman"/>
          <w:sz w:val="24"/>
          <w:szCs w:val="24"/>
        </w:rPr>
        <w:t>’na</w:t>
      </w:r>
      <w:proofErr w:type="spellEnd"/>
      <w:r w:rsidR="00AA20C7">
        <w:rPr>
          <w:rFonts w:ascii="Times New Roman" w:hAnsi="Times New Roman" w:cs="Times New Roman"/>
          <w:sz w:val="24"/>
          <w:szCs w:val="24"/>
        </w:rPr>
        <w:t xml:space="preserve"> erişim için kamuoyu bilgisine sunulmuş durumdadır.</w:t>
      </w:r>
      <w:r w:rsidR="006B2D47" w:rsidRPr="001053C6">
        <w:rPr>
          <w:sz w:val="24"/>
          <w:szCs w:val="24"/>
        </w:rPr>
        <w:t xml:space="preserve"> </w:t>
      </w:r>
    </w:p>
    <w:p w:rsidR="006B2D47" w:rsidRPr="001053C6" w:rsidRDefault="006B2D47" w:rsidP="006B2D47">
      <w:pPr>
        <w:jc w:val="both"/>
        <w:rPr>
          <w:sz w:val="24"/>
          <w:szCs w:val="24"/>
        </w:rPr>
      </w:pPr>
    </w:p>
    <w:p w:rsidR="00FC3666" w:rsidRPr="008D5D14" w:rsidRDefault="00FC3666" w:rsidP="00FC3666">
      <w:pPr>
        <w:jc w:val="both"/>
        <w:rPr>
          <w:rFonts w:ascii="Times New Roman" w:hAnsi="Times New Roman" w:cs="Times New Roman"/>
          <w:sz w:val="24"/>
          <w:szCs w:val="24"/>
        </w:rPr>
      </w:pPr>
      <w:r w:rsidRPr="008D5D14">
        <w:rPr>
          <w:rFonts w:ascii="Times New Roman" w:hAnsi="Times New Roman" w:cs="Times New Roman"/>
          <w:sz w:val="24"/>
          <w:szCs w:val="24"/>
        </w:rPr>
        <w:t xml:space="preserve">“Araştırma Hacim-Kalite Ölçütleri ve Hedefleri” ilk olarak Ekim 2017’de yapılmış olan Üniversite Araştırma Kurulu toplantısında sunulmuştur. Aralık 2019’da yapılan Üniversite Araştırma Kurulu toplantısında 2019 yılı hedeflerinin gerçekleşme düzeyleri ve 2020 yılı hedefleri üzerinde durulmuştur. Toplantı sonrası alınan kararlar Mütevelli Heyet Başkanlığına rapor edilmiştir.    </w:t>
      </w:r>
    </w:p>
    <w:p w:rsidR="008D5D14" w:rsidRDefault="008D5D14" w:rsidP="005C41C4">
      <w:pPr>
        <w:spacing w:after="160" w:line="259" w:lineRule="auto"/>
        <w:jc w:val="both"/>
        <w:rPr>
          <w:rFonts w:ascii="Times New Roman" w:hAnsi="Times New Roman" w:cs="Times New Roman"/>
          <w:sz w:val="24"/>
        </w:rPr>
      </w:pPr>
    </w:p>
    <w:p w:rsidR="004A21E8" w:rsidRDefault="004A21E8" w:rsidP="005C41C4">
      <w:pPr>
        <w:spacing w:after="160" w:line="259" w:lineRule="auto"/>
        <w:jc w:val="both"/>
        <w:rPr>
          <w:rFonts w:ascii="Times New Roman" w:hAnsi="Times New Roman" w:cs="Times New Roman"/>
          <w:sz w:val="24"/>
        </w:rPr>
      </w:pPr>
      <w:r w:rsidRPr="004A21E8">
        <w:rPr>
          <w:rFonts w:ascii="Times New Roman" w:hAnsi="Times New Roman" w:cs="Times New Roman"/>
          <w:sz w:val="24"/>
        </w:rPr>
        <w:t xml:space="preserve">Üniversitemiz Times </w:t>
      </w:r>
      <w:proofErr w:type="spellStart"/>
      <w:r w:rsidRPr="004A21E8">
        <w:rPr>
          <w:rFonts w:ascii="Times New Roman" w:hAnsi="Times New Roman" w:cs="Times New Roman"/>
          <w:sz w:val="24"/>
        </w:rPr>
        <w:t>Higher</w:t>
      </w:r>
      <w:proofErr w:type="spellEnd"/>
      <w:r w:rsidRPr="004A21E8">
        <w:rPr>
          <w:rFonts w:ascii="Times New Roman" w:hAnsi="Times New Roman" w:cs="Times New Roman"/>
          <w:sz w:val="24"/>
        </w:rPr>
        <w:t xml:space="preserve"> </w:t>
      </w:r>
      <w:proofErr w:type="spellStart"/>
      <w:r w:rsidRPr="004A21E8">
        <w:rPr>
          <w:rFonts w:ascii="Times New Roman" w:hAnsi="Times New Roman" w:cs="Times New Roman"/>
          <w:sz w:val="24"/>
        </w:rPr>
        <w:t>Education</w:t>
      </w:r>
      <w:proofErr w:type="spellEnd"/>
      <w:r w:rsidRPr="004A21E8">
        <w:rPr>
          <w:rFonts w:ascii="Times New Roman" w:hAnsi="Times New Roman" w:cs="Times New Roman"/>
          <w:sz w:val="24"/>
        </w:rPr>
        <w:t xml:space="preserve"> (THE) World </w:t>
      </w:r>
      <w:proofErr w:type="spellStart"/>
      <w:r w:rsidRPr="004A21E8">
        <w:rPr>
          <w:rFonts w:ascii="Times New Roman" w:hAnsi="Times New Roman" w:cs="Times New Roman"/>
          <w:sz w:val="24"/>
        </w:rPr>
        <w:t>University</w:t>
      </w:r>
      <w:proofErr w:type="spellEnd"/>
      <w:r w:rsidRPr="004A21E8">
        <w:rPr>
          <w:rFonts w:ascii="Times New Roman" w:hAnsi="Times New Roman" w:cs="Times New Roman"/>
          <w:sz w:val="24"/>
        </w:rPr>
        <w:t xml:space="preserve"> </w:t>
      </w:r>
      <w:proofErr w:type="spellStart"/>
      <w:r w:rsidRPr="004A21E8">
        <w:rPr>
          <w:rFonts w:ascii="Times New Roman" w:hAnsi="Times New Roman" w:cs="Times New Roman"/>
          <w:sz w:val="24"/>
        </w:rPr>
        <w:t>Rankings</w:t>
      </w:r>
      <w:proofErr w:type="spellEnd"/>
      <w:r w:rsidRPr="004A21E8">
        <w:rPr>
          <w:rFonts w:ascii="Times New Roman" w:hAnsi="Times New Roman" w:cs="Times New Roman"/>
          <w:sz w:val="24"/>
        </w:rPr>
        <w:t xml:space="preserve"> 2019-2020 yılı sıralamasında dünya sıralamasında 801-1000 bandında yer almıştır.  </w:t>
      </w:r>
    </w:p>
    <w:p w:rsidR="00D01FA7" w:rsidRPr="00F04BBF" w:rsidRDefault="00D01FA7" w:rsidP="005C41C4">
      <w:pPr>
        <w:spacing w:after="160" w:line="259" w:lineRule="auto"/>
        <w:jc w:val="both"/>
        <w:rPr>
          <w:rFonts w:ascii="Times New Roman" w:hAnsi="Times New Roman" w:cs="Times New Roman"/>
          <w:sz w:val="20"/>
        </w:rPr>
      </w:pPr>
      <w:r w:rsidRPr="00245817">
        <w:rPr>
          <w:rFonts w:ascii="Times New Roman" w:hAnsi="Times New Roman" w:cs="Times New Roman"/>
          <w:sz w:val="24"/>
        </w:rPr>
        <w:t xml:space="preserve">Web of </w:t>
      </w:r>
      <w:proofErr w:type="spellStart"/>
      <w:r w:rsidRPr="00245817">
        <w:rPr>
          <w:rFonts w:ascii="Times New Roman" w:hAnsi="Times New Roman" w:cs="Times New Roman"/>
          <w:sz w:val="24"/>
        </w:rPr>
        <w:t>Science</w:t>
      </w:r>
      <w:proofErr w:type="spellEnd"/>
      <w:r w:rsidRPr="00F04BBF">
        <w:rPr>
          <w:rFonts w:ascii="Times New Roman" w:hAnsi="Times New Roman" w:cs="Times New Roman"/>
          <w:sz w:val="24"/>
        </w:rPr>
        <w:t xml:space="preserve"> (</w:t>
      </w:r>
      <w:proofErr w:type="spellStart"/>
      <w:r w:rsidRPr="00245817">
        <w:rPr>
          <w:rFonts w:ascii="Times New Roman" w:hAnsi="Times New Roman" w:cs="Times New Roman"/>
          <w:sz w:val="24"/>
        </w:rPr>
        <w:t>WoS</w:t>
      </w:r>
      <w:proofErr w:type="spellEnd"/>
      <w:r w:rsidRPr="00F04BBF">
        <w:rPr>
          <w:rFonts w:ascii="Times New Roman" w:hAnsi="Times New Roman" w:cs="Times New Roman"/>
          <w:sz w:val="24"/>
        </w:rPr>
        <w:t>) tabanlı yayın ve atıf sayısını dikkate alan “Bilimsel Yayın Üstün Başarı Ödülleri” isimli yönergeye Atılım Üniversitesi internet sitesinde mevzuat bölümünde yönergeler alt bölümünde Bilimsel Yayın Üstün Başarı Ödülleri Uygulama Yönergesi isimli bağlantıdan ulaşılabilir.</w:t>
      </w:r>
      <w:r w:rsidRPr="00F04BBF">
        <w:rPr>
          <w:rFonts w:ascii="Times New Roman" w:hAnsi="Times New Roman" w:cs="Times New Roman"/>
          <w:sz w:val="20"/>
        </w:rPr>
        <w:t xml:space="preserve"> (</w:t>
      </w:r>
      <w:hyperlink r:id="rId9" w:history="1">
        <w:r w:rsidRPr="00F04BBF">
          <w:rPr>
            <w:rStyle w:val="Kpr"/>
            <w:rFonts w:ascii="Times New Roman" w:hAnsi="Times New Roman" w:cs="Times New Roman"/>
            <w:sz w:val="20"/>
          </w:rPr>
          <w:t>https://www.atilim.edu.tr/tr/home/page/113/mevzuat</w:t>
        </w:r>
      </w:hyperlink>
      <w:r w:rsidRPr="00F04BBF">
        <w:rPr>
          <w:rFonts w:ascii="Times New Roman" w:hAnsi="Times New Roman" w:cs="Times New Roman"/>
          <w:sz w:val="20"/>
        </w:rPr>
        <w:t xml:space="preserve">)  </w:t>
      </w:r>
    </w:p>
    <w:p w:rsidR="004A21E8" w:rsidRPr="004A21E8" w:rsidRDefault="004A21E8" w:rsidP="004A21E8">
      <w:pPr>
        <w:jc w:val="both"/>
        <w:rPr>
          <w:rFonts w:ascii="Times New Roman" w:hAnsi="Times New Roman" w:cs="Times New Roman"/>
          <w:sz w:val="24"/>
          <w:szCs w:val="24"/>
        </w:rPr>
      </w:pPr>
      <w:r w:rsidRPr="004A21E8">
        <w:rPr>
          <w:rFonts w:ascii="Times New Roman" w:hAnsi="Times New Roman" w:cs="Times New Roman"/>
          <w:sz w:val="24"/>
          <w:szCs w:val="24"/>
        </w:rPr>
        <w:t>Üniversitemize özgü “anahtar” performans göstergeleri:</w:t>
      </w:r>
    </w:p>
    <w:p w:rsidR="004A21E8" w:rsidRPr="004A21E8" w:rsidRDefault="004A21E8" w:rsidP="004A21E8">
      <w:pPr>
        <w:pStyle w:val="ListeParagraf"/>
        <w:widowControl/>
        <w:numPr>
          <w:ilvl w:val="0"/>
          <w:numId w:val="7"/>
        </w:numPr>
        <w:spacing w:after="200" w:line="276" w:lineRule="auto"/>
        <w:contextualSpacing/>
        <w:jc w:val="both"/>
        <w:rPr>
          <w:rFonts w:ascii="Times New Roman" w:hAnsi="Times New Roman" w:cs="Times New Roman"/>
          <w:sz w:val="24"/>
          <w:szCs w:val="24"/>
        </w:rPr>
      </w:pPr>
      <w:r w:rsidRPr="004A21E8">
        <w:rPr>
          <w:rFonts w:ascii="Times New Roman" w:hAnsi="Times New Roman" w:cs="Times New Roman"/>
          <w:sz w:val="24"/>
          <w:szCs w:val="24"/>
        </w:rPr>
        <w:t xml:space="preserve">Web of </w:t>
      </w:r>
      <w:proofErr w:type="spellStart"/>
      <w:r w:rsidRPr="004A21E8">
        <w:rPr>
          <w:rFonts w:ascii="Times New Roman" w:hAnsi="Times New Roman" w:cs="Times New Roman"/>
          <w:sz w:val="24"/>
          <w:szCs w:val="24"/>
        </w:rPr>
        <w:t>Science</w:t>
      </w:r>
      <w:proofErr w:type="spellEnd"/>
      <w:r w:rsidRPr="004A21E8">
        <w:rPr>
          <w:rFonts w:ascii="Times New Roman" w:hAnsi="Times New Roman" w:cs="Times New Roman"/>
          <w:sz w:val="24"/>
          <w:szCs w:val="24"/>
        </w:rPr>
        <w:t xml:space="preserve"> kapsamında yayınlanmış tam makale sayısı</w:t>
      </w:r>
    </w:p>
    <w:p w:rsidR="004A21E8" w:rsidRPr="004A21E8" w:rsidRDefault="004A21E8" w:rsidP="004A21E8">
      <w:pPr>
        <w:pStyle w:val="ListeParagraf"/>
        <w:widowControl/>
        <w:numPr>
          <w:ilvl w:val="0"/>
          <w:numId w:val="7"/>
        </w:numPr>
        <w:spacing w:after="200" w:line="276" w:lineRule="auto"/>
        <w:contextualSpacing/>
        <w:jc w:val="both"/>
        <w:rPr>
          <w:rFonts w:ascii="Times New Roman" w:hAnsi="Times New Roman" w:cs="Times New Roman"/>
          <w:sz w:val="24"/>
          <w:szCs w:val="24"/>
        </w:rPr>
      </w:pPr>
      <w:r w:rsidRPr="004A21E8">
        <w:rPr>
          <w:rFonts w:ascii="Times New Roman" w:hAnsi="Times New Roman" w:cs="Times New Roman"/>
          <w:sz w:val="24"/>
          <w:szCs w:val="24"/>
        </w:rPr>
        <w:t>Üniversitemiz adresli yayınlara başka araştırmacılar tarafından verilmiş atıf sayıları</w:t>
      </w:r>
    </w:p>
    <w:p w:rsidR="004A21E8" w:rsidRPr="004A21E8" w:rsidRDefault="003559A9" w:rsidP="004A21E8">
      <w:pPr>
        <w:pStyle w:val="ListeParagraf"/>
        <w:widowControl/>
        <w:numPr>
          <w:ilvl w:val="0"/>
          <w:numId w:val="7"/>
        </w:numPr>
        <w:spacing w:after="200" w:line="276" w:lineRule="auto"/>
        <w:contextualSpacing/>
        <w:jc w:val="both"/>
        <w:rPr>
          <w:rFonts w:ascii="Times New Roman" w:hAnsi="Times New Roman" w:cs="Times New Roman"/>
          <w:sz w:val="24"/>
          <w:szCs w:val="24"/>
        </w:rPr>
      </w:pPr>
      <w:r>
        <w:rPr>
          <w:rFonts w:ascii="Times New Roman" w:hAnsi="Times New Roman" w:cs="Times New Roman"/>
          <w:sz w:val="24"/>
          <w:szCs w:val="24"/>
        </w:rPr>
        <w:t>Dış destekli (TÜBİTAK, SSB</w:t>
      </w:r>
      <w:r w:rsidR="004A21E8" w:rsidRPr="004A21E8">
        <w:rPr>
          <w:rFonts w:ascii="Times New Roman" w:hAnsi="Times New Roman" w:cs="Times New Roman"/>
          <w:sz w:val="24"/>
          <w:szCs w:val="24"/>
        </w:rPr>
        <w:t xml:space="preserve">, KOSGEB, H2020, COST vb.) projeler </w:t>
      </w:r>
    </w:p>
    <w:p w:rsidR="004A21E8" w:rsidRDefault="004A21E8" w:rsidP="004A21E8">
      <w:pPr>
        <w:jc w:val="both"/>
        <w:rPr>
          <w:rFonts w:ascii="Times New Roman" w:hAnsi="Times New Roman" w:cs="Times New Roman"/>
          <w:sz w:val="24"/>
          <w:szCs w:val="24"/>
        </w:rPr>
      </w:pPr>
      <w:proofErr w:type="gramStart"/>
      <w:r w:rsidRPr="004A21E8">
        <w:rPr>
          <w:rFonts w:ascii="Times New Roman" w:hAnsi="Times New Roman" w:cs="Times New Roman"/>
          <w:sz w:val="24"/>
          <w:szCs w:val="24"/>
        </w:rPr>
        <w:t>olarak</w:t>
      </w:r>
      <w:proofErr w:type="gramEnd"/>
      <w:r w:rsidRPr="004A21E8">
        <w:rPr>
          <w:rFonts w:ascii="Times New Roman" w:hAnsi="Times New Roman" w:cs="Times New Roman"/>
          <w:sz w:val="24"/>
          <w:szCs w:val="24"/>
        </w:rPr>
        <w:t xml:space="preserve"> sıralanabilir. </w:t>
      </w:r>
    </w:p>
    <w:p w:rsidR="004C544D" w:rsidRPr="004A21E8" w:rsidRDefault="004C544D" w:rsidP="004A21E8">
      <w:pPr>
        <w:jc w:val="both"/>
        <w:rPr>
          <w:rFonts w:ascii="Times New Roman" w:hAnsi="Times New Roman" w:cs="Times New Roman"/>
          <w:sz w:val="24"/>
          <w:szCs w:val="24"/>
        </w:rPr>
      </w:pPr>
    </w:p>
    <w:p w:rsidR="004A21E8" w:rsidRPr="00894B6D" w:rsidRDefault="004A21E8" w:rsidP="004A21E8">
      <w:pPr>
        <w:jc w:val="both"/>
        <w:rPr>
          <w:sz w:val="24"/>
          <w:szCs w:val="24"/>
        </w:rPr>
      </w:pPr>
      <w:r w:rsidRPr="004A21E8">
        <w:rPr>
          <w:rFonts w:ascii="Times New Roman" w:hAnsi="Times New Roman" w:cs="Times New Roman"/>
          <w:sz w:val="24"/>
          <w:szCs w:val="24"/>
        </w:rPr>
        <w:t xml:space="preserve">Bu göstergeler ARGEDA-TTO Direktörlüğü ve Araştırmadan Sorumlu Rektör Yardımcılığı </w:t>
      </w:r>
      <w:r w:rsidRPr="004A21E8">
        <w:rPr>
          <w:rFonts w:ascii="Times New Roman" w:hAnsi="Times New Roman" w:cs="Times New Roman"/>
          <w:sz w:val="24"/>
          <w:szCs w:val="24"/>
        </w:rPr>
        <w:lastRenderedPageBreak/>
        <w:t xml:space="preserve">tarafından takip edilmekte olup raporlanmaktadır. Her ay güncellenen </w:t>
      </w:r>
      <w:hyperlink r:id="rId10" w:history="1">
        <w:r w:rsidRPr="00B64B23">
          <w:rPr>
            <w:rStyle w:val="Kpr"/>
            <w:rFonts w:ascii="Times New Roman" w:hAnsi="Times New Roman" w:cs="Times New Roman"/>
            <w:sz w:val="24"/>
            <w:szCs w:val="24"/>
          </w:rPr>
          <w:t>yayın ve atıf istatistikleri</w:t>
        </w:r>
        <w:r w:rsidRPr="00B64B23">
          <w:rPr>
            <w:rStyle w:val="Kpr"/>
            <w:sz w:val="24"/>
            <w:szCs w:val="24"/>
          </w:rPr>
          <w:t xml:space="preserve"> </w:t>
        </w:r>
      </w:hyperlink>
      <w:r w:rsidR="00B64B23">
        <w:rPr>
          <w:rFonts w:ascii="Times New Roman" w:hAnsi="Times New Roman" w:cs="Times New Roman"/>
          <w:sz w:val="24"/>
          <w:szCs w:val="24"/>
        </w:rPr>
        <w:t>‘ne rahatlıkla detaylı inceleme için erişilebilmektedir.</w:t>
      </w:r>
      <w:r w:rsidRPr="004A21E8">
        <w:rPr>
          <w:rFonts w:ascii="Times New Roman" w:hAnsi="Times New Roman" w:cs="Times New Roman"/>
          <w:sz w:val="24"/>
          <w:szCs w:val="24"/>
        </w:rPr>
        <w:t xml:space="preserve"> </w:t>
      </w:r>
    </w:p>
    <w:p w:rsidR="004A21E8" w:rsidRDefault="004A21E8" w:rsidP="005C41C4">
      <w:pPr>
        <w:spacing w:after="160" w:line="259" w:lineRule="auto"/>
        <w:jc w:val="both"/>
        <w:rPr>
          <w:rFonts w:ascii="Times New Roman" w:hAnsi="Times New Roman" w:cs="Times New Roman"/>
          <w:sz w:val="24"/>
        </w:rPr>
      </w:pPr>
    </w:p>
    <w:p w:rsidR="00F36572" w:rsidRPr="00F36572" w:rsidRDefault="00F36572" w:rsidP="00F36572">
      <w:pPr>
        <w:jc w:val="both"/>
        <w:rPr>
          <w:rFonts w:ascii="Times New Roman" w:hAnsi="Times New Roman" w:cs="Times New Roman"/>
          <w:sz w:val="24"/>
          <w:szCs w:val="24"/>
        </w:rPr>
      </w:pPr>
      <w:r w:rsidRPr="00F36572">
        <w:rPr>
          <w:rFonts w:ascii="Times New Roman" w:hAnsi="Times New Roman" w:cs="Times New Roman"/>
          <w:sz w:val="24"/>
          <w:szCs w:val="24"/>
        </w:rPr>
        <w:t>Üniversite’nin anahtar performans göstergeleri itibariyle konulmuş hedefleri destekleyici ve teşvik edici</w:t>
      </w:r>
      <w:r>
        <w:rPr>
          <w:rFonts w:ascii="Times New Roman" w:hAnsi="Times New Roman" w:cs="Times New Roman"/>
          <w:sz w:val="24"/>
          <w:szCs w:val="24"/>
        </w:rPr>
        <w:t xml:space="preserve"> çeşitli</w:t>
      </w:r>
      <w:r w:rsidRPr="00F36572">
        <w:rPr>
          <w:rFonts w:ascii="Times New Roman" w:hAnsi="Times New Roman" w:cs="Times New Roman"/>
          <w:sz w:val="24"/>
          <w:szCs w:val="24"/>
        </w:rPr>
        <w:t xml:space="preserve"> uygulamalar</w:t>
      </w:r>
      <w:r>
        <w:rPr>
          <w:rFonts w:ascii="Times New Roman" w:hAnsi="Times New Roman" w:cs="Times New Roman"/>
          <w:sz w:val="24"/>
          <w:szCs w:val="24"/>
        </w:rPr>
        <w:t>ı bulunmaktadır;</w:t>
      </w:r>
    </w:p>
    <w:p w:rsidR="0048497E" w:rsidRDefault="00F36572" w:rsidP="0031473C">
      <w:pPr>
        <w:pStyle w:val="ListeParagraf"/>
        <w:widowControl/>
        <w:numPr>
          <w:ilvl w:val="0"/>
          <w:numId w:val="8"/>
        </w:numPr>
        <w:spacing w:after="200" w:line="276" w:lineRule="auto"/>
        <w:contextualSpacing/>
        <w:jc w:val="both"/>
        <w:rPr>
          <w:rFonts w:ascii="Times New Roman" w:hAnsi="Times New Roman" w:cs="Times New Roman"/>
          <w:sz w:val="24"/>
          <w:szCs w:val="24"/>
        </w:rPr>
      </w:pPr>
      <w:r w:rsidRPr="0048497E">
        <w:rPr>
          <w:rFonts w:ascii="Times New Roman" w:hAnsi="Times New Roman" w:cs="Times New Roman"/>
          <w:sz w:val="24"/>
          <w:szCs w:val="24"/>
        </w:rPr>
        <w:t>Yayın Teşvik Sistemi</w:t>
      </w:r>
      <w:r w:rsidR="00C22DB8" w:rsidRPr="0048497E">
        <w:rPr>
          <w:rFonts w:ascii="Times New Roman" w:hAnsi="Times New Roman" w:cs="Times New Roman"/>
          <w:sz w:val="24"/>
          <w:szCs w:val="24"/>
        </w:rPr>
        <w:t xml:space="preserve">: </w:t>
      </w:r>
      <w:r w:rsidRPr="0048497E">
        <w:rPr>
          <w:rFonts w:ascii="Times New Roman" w:hAnsi="Times New Roman" w:cs="Times New Roman"/>
          <w:sz w:val="24"/>
          <w:szCs w:val="24"/>
        </w:rPr>
        <w:t xml:space="preserve">Araştırma sonuçlarının ilgili camiaya duyurulması için en etkin yöntem olan makaleler araştırmanın doğal çıktısı olarak ortaya çıkmaktadır. Bu bağlamda, üniversitemiz için araştırmacılarımızın elde ettiği bilimsel sonuçların etki değeri yüksek uluslararası saygın dergilerde yayınlanması önem arz etmektedir. Yayınlarımızın Fakültelere göre dağılımlarının yanı sıra ilgili makalelerin yayınlandığı bilimsel dergilerin etki faktörlerine göre dağılımları da Araştırmadan sorumlu Rektör </w:t>
      </w:r>
      <w:proofErr w:type="gramStart"/>
      <w:r w:rsidRPr="0048497E">
        <w:rPr>
          <w:rFonts w:ascii="Times New Roman" w:hAnsi="Times New Roman" w:cs="Times New Roman"/>
          <w:sz w:val="24"/>
          <w:szCs w:val="24"/>
        </w:rPr>
        <w:t>Yardımcılığı ofisi</w:t>
      </w:r>
      <w:proofErr w:type="gramEnd"/>
      <w:r w:rsidRPr="0048497E">
        <w:rPr>
          <w:rFonts w:ascii="Times New Roman" w:hAnsi="Times New Roman" w:cs="Times New Roman"/>
          <w:sz w:val="24"/>
          <w:szCs w:val="24"/>
        </w:rPr>
        <w:t xml:space="preserve"> tarafından izlenmekte olup bu verilerden hareketle yeni stratejiler ve teşvik sistemleri geliştirilmektedir.  </w:t>
      </w:r>
    </w:p>
    <w:p w:rsidR="0048497E" w:rsidRDefault="0048497E" w:rsidP="0048497E">
      <w:pPr>
        <w:pStyle w:val="ListeParagraf"/>
        <w:widowControl/>
        <w:spacing w:after="200" w:line="276" w:lineRule="auto"/>
        <w:ind w:left="720"/>
        <w:contextualSpacing/>
        <w:jc w:val="both"/>
        <w:rPr>
          <w:rFonts w:ascii="Times New Roman" w:hAnsi="Times New Roman" w:cs="Times New Roman"/>
          <w:sz w:val="24"/>
          <w:szCs w:val="24"/>
        </w:rPr>
      </w:pPr>
    </w:p>
    <w:p w:rsidR="00F36572" w:rsidRPr="0048497E" w:rsidRDefault="00F36572" w:rsidP="0048497E">
      <w:pPr>
        <w:pStyle w:val="ListeParagraf"/>
        <w:widowControl/>
        <w:spacing w:after="200" w:line="276" w:lineRule="auto"/>
        <w:ind w:left="720"/>
        <w:contextualSpacing/>
        <w:jc w:val="both"/>
        <w:rPr>
          <w:rFonts w:ascii="Times New Roman" w:hAnsi="Times New Roman" w:cs="Times New Roman"/>
          <w:sz w:val="24"/>
          <w:szCs w:val="24"/>
        </w:rPr>
      </w:pPr>
      <w:r w:rsidRPr="0048497E">
        <w:rPr>
          <w:rFonts w:ascii="Times New Roman" w:hAnsi="Times New Roman" w:cs="Times New Roman"/>
          <w:sz w:val="24"/>
          <w:szCs w:val="24"/>
        </w:rPr>
        <w:t xml:space="preserve">2019 yılında revize edilmiş yayın teşvik sistemi ile daha nitelikli (etki değeri yüksek dergilerde yayınlanmış) makalelere üniversite tarafından verilen teşvik miktarı artırılmıştır. Aşağıda yer alan grafikten görüleceği üzere 2018 ve 2019 yıllarında üniversitemiz adresli olarak üretilen </w:t>
      </w:r>
      <w:proofErr w:type="spellStart"/>
      <w:r w:rsidRPr="0048497E">
        <w:rPr>
          <w:rFonts w:ascii="Times New Roman" w:hAnsi="Times New Roman" w:cs="Times New Roman"/>
          <w:sz w:val="24"/>
          <w:szCs w:val="24"/>
        </w:rPr>
        <w:t>WoS</w:t>
      </w:r>
      <w:proofErr w:type="spellEnd"/>
      <w:r w:rsidRPr="0048497E">
        <w:rPr>
          <w:rFonts w:ascii="Times New Roman" w:hAnsi="Times New Roman" w:cs="Times New Roman"/>
          <w:sz w:val="24"/>
          <w:szCs w:val="24"/>
        </w:rPr>
        <w:t xml:space="preserve"> endeksli tam makale sayılarında</w:t>
      </w:r>
      <w:r w:rsidR="00F10519">
        <w:rPr>
          <w:rFonts w:ascii="Times New Roman" w:hAnsi="Times New Roman" w:cs="Times New Roman"/>
          <w:sz w:val="24"/>
          <w:szCs w:val="24"/>
        </w:rPr>
        <w:t xml:space="preserve"> Şekil 1’de görülebileceği üzere</w:t>
      </w:r>
      <w:r w:rsidRPr="0048497E">
        <w:rPr>
          <w:rFonts w:ascii="Times New Roman" w:hAnsi="Times New Roman" w:cs="Times New Roman"/>
          <w:sz w:val="24"/>
          <w:szCs w:val="24"/>
        </w:rPr>
        <w:t xml:space="preserve"> önemli bir artış bulunmaktadır. </w:t>
      </w:r>
    </w:p>
    <w:p w:rsidR="00F10519" w:rsidRDefault="00F10519" w:rsidP="00F10519">
      <w:pPr>
        <w:jc w:val="both"/>
        <w:rPr>
          <w:sz w:val="24"/>
          <w:szCs w:val="24"/>
        </w:rPr>
      </w:pPr>
      <w:r>
        <w:rPr>
          <w:noProof/>
          <w:lang w:eastAsia="tr-TR"/>
        </w:rPr>
        <w:drawing>
          <wp:inline distT="0" distB="0" distL="0" distR="0" wp14:anchorId="6478DD2A" wp14:editId="0BC9700C">
            <wp:extent cx="5593080" cy="3177540"/>
            <wp:effectExtent l="0" t="0" r="7620" b="381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10519" w:rsidRDefault="00F10519" w:rsidP="00F10519">
      <w:pPr>
        <w:jc w:val="center"/>
        <w:rPr>
          <w:sz w:val="24"/>
          <w:szCs w:val="24"/>
        </w:rPr>
      </w:pPr>
      <w:r>
        <w:rPr>
          <w:sz w:val="24"/>
          <w:szCs w:val="24"/>
        </w:rPr>
        <w:t xml:space="preserve">Şekil 1. </w:t>
      </w:r>
      <w:proofErr w:type="spellStart"/>
      <w:r>
        <w:rPr>
          <w:sz w:val="24"/>
          <w:szCs w:val="24"/>
        </w:rPr>
        <w:t>WoS</w:t>
      </w:r>
      <w:proofErr w:type="spellEnd"/>
      <w:r>
        <w:rPr>
          <w:sz w:val="24"/>
          <w:szCs w:val="24"/>
        </w:rPr>
        <w:t xml:space="preserve"> tam makale sayıları (yıllar bazında)</w:t>
      </w:r>
    </w:p>
    <w:p w:rsidR="00F36572" w:rsidRDefault="00F36572" w:rsidP="005C41C4">
      <w:pPr>
        <w:spacing w:after="160" w:line="259" w:lineRule="auto"/>
        <w:jc w:val="both"/>
        <w:rPr>
          <w:rFonts w:ascii="Times New Roman" w:hAnsi="Times New Roman" w:cs="Times New Roman"/>
          <w:sz w:val="24"/>
        </w:rPr>
      </w:pPr>
    </w:p>
    <w:p w:rsidR="007A1F08" w:rsidRPr="007A1F08" w:rsidRDefault="007A1F08" w:rsidP="00DD4C5D">
      <w:pPr>
        <w:pStyle w:val="ListeParagraf"/>
        <w:widowControl/>
        <w:numPr>
          <w:ilvl w:val="0"/>
          <w:numId w:val="8"/>
        </w:numPr>
        <w:spacing w:after="200" w:line="276" w:lineRule="auto"/>
        <w:contextualSpacing/>
        <w:jc w:val="both"/>
        <w:rPr>
          <w:sz w:val="24"/>
          <w:szCs w:val="24"/>
        </w:rPr>
      </w:pPr>
      <w:r w:rsidRPr="007A1F08">
        <w:rPr>
          <w:sz w:val="24"/>
          <w:szCs w:val="24"/>
        </w:rPr>
        <w:t xml:space="preserve">Bilimsel Yayın Üstün Başarı Ödülleri: Araştırma performansının iyileştirilmesi adına oluşturulmuş ve iki yıldır uygulanan bir diğer ödül sistemi de </w:t>
      </w:r>
      <w:proofErr w:type="spellStart"/>
      <w:r w:rsidRPr="007A1F08">
        <w:rPr>
          <w:sz w:val="24"/>
          <w:szCs w:val="24"/>
        </w:rPr>
        <w:t>WoS</w:t>
      </w:r>
      <w:proofErr w:type="spellEnd"/>
      <w:r w:rsidRPr="007A1F08">
        <w:rPr>
          <w:sz w:val="24"/>
          <w:szCs w:val="24"/>
        </w:rPr>
        <w:t xml:space="preserve"> endeksli yayın ve atıf sayısını dikkate alan “Bilimsel Yayın Üstün Başarı Ödülleri”’</w:t>
      </w:r>
      <w:proofErr w:type="spellStart"/>
      <w:r w:rsidRPr="007A1F08">
        <w:rPr>
          <w:sz w:val="24"/>
          <w:szCs w:val="24"/>
        </w:rPr>
        <w:t>dir</w:t>
      </w:r>
      <w:proofErr w:type="spellEnd"/>
      <w:r w:rsidRPr="007A1F08">
        <w:rPr>
          <w:sz w:val="24"/>
          <w:szCs w:val="24"/>
        </w:rPr>
        <w:t xml:space="preserve">. </w:t>
      </w:r>
      <w:hyperlink r:id="rId12" w:history="1">
        <w:r w:rsidR="00DD4C5D" w:rsidRPr="00DD4C5D">
          <w:rPr>
            <w:rStyle w:val="Kpr"/>
            <w:sz w:val="24"/>
            <w:szCs w:val="24"/>
          </w:rPr>
          <w:t>Atılım Üniversitesi Bilimsel Yayın Üstün Başarı Ödülleri Uygulama Yönergesi</w:t>
        </w:r>
      </w:hyperlink>
      <w:r w:rsidR="00DD4C5D" w:rsidRPr="00DD4C5D">
        <w:rPr>
          <w:sz w:val="24"/>
          <w:szCs w:val="24"/>
        </w:rPr>
        <w:t xml:space="preserve"> </w:t>
      </w:r>
      <w:r w:rsidR="00CB253A">
        <w:rPr>
          <w:sz w:val="24"/>
          <w:szCs w:val="24"/>
        </w:rPr>
        <w:t>‘</w:t>
      </w:r>
      <w:r w:rsidR="00DD4C5D">
        <w:rPr>
          <w:sz w:val="24"/>
          <w:szCs w:val="24"/>
        </w:rPr>
        <w:t xml:space="preserve">ne </w:t>
      </w:r>
      <w:r w:rsidR="00066F7E">
        <w:rPr>
          <w:sz w:val="24"/>
          <w:szCs w:val="24"/>
        </w:rPr>
        <w:t xml:space="preserve">detaylı inceleme amaçlı </w:t>
      </w:r>
      <w:r w:rsidR="00066F7E">
        <w:rPr>
          <w:sz w:val="24"/>
          <w:szCs w:val="24"/>
        </w:rPr>
        <w:lastRenderedPageBreak/>
        <w:t>rahatlıkla</w:t>
      </w:r>
      <w:r w:rsidRPr="007A1F08">
        <w:rPr>
          <w:sz w:val="24"/>
          <w:szCs w:val="24"/>
        </w:rPr>
        <w:t xml:space="preserve"> ulaşılabilmektedir.</w:t>
      </w:r>
      <w:r>
        <w:rPr>
          <w:sz w:val="24"/>
          <w:szCs w:val="24"/>
        </w:rPr>
        <w:t xml:space="preserve"> </w:t>
      </w:r>
      <w:r w:rsidRPr="007A1F08">
        <w:rPr>
          <w:sz w:val="24"/>
          <w:szCs w:val="24"/>
        </w:rPr>
        <w:t xml:space="preserve">Şekil 2’de üniversitemiz araştırmacıları tarafından üretilmiş </w:t>
      </w:r>
      <w:proofErr w:type="spellStart"/>
      <w:r w:rsidRPr="007A1F08">
        <w:rPr>
          <w:sz w:val="24"/>
          <w:szCs w:val="24"/>
        </w:rPr>
        <w:t>WoS</w:t>
      </w:r>
      <w:proofErr w:type="spellEnd"/>
      <w:r w:rsidRPr="007A1F08">
        <w:rPr>
          <w:sz w:val="24"/>
          <w:szCs w:val="24"/>
        </w:rPr>
        <w:t xml:space="preserve"> kapsamındaki yayınlara yapılmış olan atıf sayıları sunulmuştur. </w:t>
      </w:r>
    </w:p>
    <w:p w:rsidR="007A1F08" w:rsidRDefault="007A1F08" w:rsidP="007A1F08">
      <w:pPr>
        <w:jc w:val="both"/>
        <w:rPr>
          <w:sz w:val="24"/>
          <w:szCs w:val="24"/>
        </w:rPr>
      </w:pPr>
      <w:r>
        <w:rPr>
          <w:noProof/>
          <w:lang w:eastAsia="tr-TR"/>
        </w:rPr>
        <w:drawing>
          <wp:inline distT="0" distB="0" distL="0" distR="0" wp14:anchorId="758E6716" wp14:editId="73159F4B">
            <wp:extent cx="5760720" cy="3378200"/>
            <wp:effectExtent l="0" t="0" r="11430" b="12700"/>
            <wp:docPr id="3" name="Grafik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A1F08" w:rsidRDefault="007A1F08" w:rsidP="007A1F08">
      <w:pPr>
        <w:jc w:val="center"/>
        <w:rPr>
          <w:sz w:val="24"/>
          <w:szCs w:val="24"/>
        </w:rPr>
      </w:pPr>
      <w:r>
        <w:rPr>
          <w:sz w:val="24"/>
          <w:szCs w:val="24"/>
        </w:rPr>
        <w:t xml:space="preserve">Şekil 2. </w:t>
      </w:r>
      <w:proofErr w:type="spellStart"/>
      <w:r>
        <w:rPr>
          <w:sz w:val="24"/>
          <w:szCs w:val="24"/>
        </w:rPr>
        <w:t>WoS</w:t>
      </w:r>
      <w:proofErr w:type="spellEnd"/>
      <w:r>
        <w:rPr>
          <w:sz w:val="24"/>
          <w:szCs w:val="24"/>
        </w:rPr>
        <w:t xml:space="preserve"> kapsamındaki yayınlara yapılmış atıf sayıları</w:t>
      </w:r>
    </w:p>
    <w:p w:rsidR="007A1F08" w:rsidRDefault="007A1F08" w:rsidP="005C41C4">
      <w:pPr>
        <w:spacing w:after="160" w:line="259" w:lineRule="auto"/>
        <w:jc w:val="both"/>
        <w:rPr>
          <w:rFonts w:ascii="Times New Roman" w:hAnsi="Times New Roman" w:cs="Times New Roman"/>
          <w:sz w:val="24"/>
        </w:rPr>
      </w:pPr>
    </w:p>
    <w:p w:rsidR="0079109A" w:rsidRDefault="0079109A" w:rsidP="0079109A">
      <w:pPr>
        <w:jc w:val="both"/>
        <w:rPr>
          <w:rFonts w:ascii="Times New Roman" w:hAnsi="Times New Roman" w:cs="Times New Roman"/>
          <w:sz w:val="24"/>
          <w:szCs w:val="24"/>
        </w:rPr>
      </w:pPr>
      <w:r w:rsidRPr="005831A3">
        <w:rPr>
          <w:rFonts w:ascii="Times New Roman" w:hAnsi="Times New Roman" w:cs="Times New Roman"/>
          <w:sz w:val="24"/>
          <w:szCs w:val="24"/>
        </w:rPr>
        <w:t>Eğitim-Öğretim programlarında araştırma politikasının uygulanması</w:t>
      </w:r>
      <w:r w:rsidR="005831A3">
        <w:rPr>
          <w:rFonts w:ascii="Times New Roman" w:hAnsi="Times New Roman" w:cs="Times New Roman"/>
          <w:sz w:val="24"/>
          <w:szCs w:val="24"/>
        </w:rPr>
        <w:t xml:space="preserve"> ile ilgili olarak; </w:t>
      </w:r>
      <w:r w:rsidR="008F1529">
        <w:rPr>
          <w:rFonts w:ascii="Times New Roman" w:hAnsi="Times New Roman" w:cs="Times New Roman"/>
          <w:sz w:val="24"/>
          <w:szCs w:val="24"/>
        </w:rPr>
        <w:t xml:space="preserve">Üniversitemiz, </w:t>
      </w:r>
      <w:r w:rsidR="00256A5B">
        <w:rPr>
          <w:rFonts w:ascii="Times New Roman" w:hAnsi="Times New Roman" w:cs="Times New Roman"/>
          <w:sz w:val="24"/>
          <w:szCs w:val="24"/>
        </w:rPr>
        <w:t>a</w:t>
      </w:r>
      <w:r w:rsidRPr="0079109A">
        <w:rPr>
          <w:rFonts w:ascii="Times New Roman" w:hAnsi="Times New Roman" w:cs="Times New Roman"/>
          <w:sz w:val="24"/>
          <w:szCs w:val="24"/>
        </w:rPr>
        <w:t>raştırmanın lisans eğitimi düzeyinde başlaması gerektiğini politika olarak benimsemiş</w:t>
      </w:r>
      <w:r w:rsidR="008F1529">
        <w:rPr>
          <w:rFonts w:ascii="Times New Roman" w:hAnsi="Times New Roman" w:cs="Times New Roman"/>
          <w:sz w:val="24"/>
          <w:szCs w:val="24"/>
        </w:rPr>
        <w:t>tir.</w:t>
      </w:r>
      <w:r w:rsidR="008A6BC8">
        <w:rPr>
          <w:rFonts w:ascii="Times New Roman" w:hAnsi="Times New Roman" w:cs="Times New Roman"/>
          <w:sz w:val="24"/>
          <w:szCs w:val="24"/>
        </w:rPr>
        <w:t xml:space="preserve"> </w:t>
      </w:r>
      <w:r w:rsidRPr="0079109A">
        <w:rPr>
          <w:rFonts w:ascii="Times New Roman" w:hAnsi="Times New Roman" w:cs="Times New Roman"/>
          <w:sz w:val="24"/>
          <w:szCs w:val="24"/>
        </w:rPr>
        <w:t xml:space="preserve">Üniversitemizde, yaygın bir lisans araştırma kültürü oluşturmak, araştırmacı ve yaratıcı öğrenciler yetiştirmek amacıyla Lisans Araştırma Projeleri (LAP) programı uygulanmaktadır.  Öğretim elemanlarının yürütücü, lisans öğrencilerinin araştırmacı olarak yer aldığı bu projeler bir akademik yıl boyunca devam etmekte olup bazı projeler sanayi ile işbirliği içerisinde yürütülebilmektedir.  İlgili programa ilişkin usul ve esaslar  </w:t>
      </w:r>
      <w:hyperlink r:id="rId14" w:history="1">
        <w:r w:rsidRPr="00E46696">
          <w:rPr>
            <w:color w:val="0000FF"/>
            <w:sz w:val="24"/>
            <w:szCs w:val="24"/>
            <w:u w:val="single"/>
          </w:rPr>
          <w:t>https://www.atilim.edu.tr/tr/argeda/page/2149/usul-ve-esaslar</w:t>
        </w:r>
      </w:hyperlink>
      <w:r w:rsidRPr="00E46696">
        <w:rPr>
          <w:sz w:val="24"/>
          <w:szCs w:val="24"/>
        </w:rPr>
        <w:t xml:space="preserve"> </w:t>
      </w:r>
      <w:r w:rsidRPr="0079109A">
        <w:rPr>
          <w:rFonts w:ascii="Times New Roman" w:hAnsi="Times New Roman" w:cs="Times New Roman"/>
          <w:sz w:val="24"/>
          <w:szCs w:val="24"/>
        </w:rPr>
        <w:t xml:space="preserve">linkinde yer almaktadır. </w:t>
      </w:r>
    </w:p>
    <w:p w:rsidR="00DF1878" w:rsidRPr="0079109A" w:rsidRDefault="00DF1878" w:rsidP="0079109A">
      <w:pPr>
        <w:jc w:val="both"/>
        <w:rPr>
          <w:rFonts w:ascii="Times New Roman" w:hAnsi="Times New Roman" w:cs="Times New Roman"/>
          <w:sz w:val="24"/>
          <w:szCs w:val="24"/>
        </w:rPr>
      </w:pPr>
    </w:p>
    <w:p w:rsidR="0079109A" w:rsidRPr="0079109A" w:rsidRDefault="0079109A" w:rsidP="0079109A">
      <w:pPr>
        <w:jc w:val="both"/>
        <w:rPr>
          <w:rFonts w:ascii="Times New Roman" w:hAnsi="Times New Roman" w:cs="Times New Roman"/>
          <w:sz w:val="24"/>
          <w:szCs w:val="24"/>
        </w:rPr>
      </w:pPr>
      <w:proofErr w:type="spellStart"/>
      <w:r w:rsidRPr="0079109A">
        <w:rPr>
          <w:rFonts w:ascii="Times New Roman" w:hAnsi="Times New Roman" w:cs="Times New Roman"/>
          <w:iCs/>
          <w:sz w:val="24"/>
          <w:szCs w:val="24"/>
          <w:lang w:val="en-US"/>
        </w:rPr>
        <w:t>Atılım</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Üniversitesi</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olarak</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iş</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fikri</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yarışmaları</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düzenlenmekte</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girişimci</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adaylarının</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iş</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fikirlerini</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hayata</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geçirmelerine</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ödüllendirme</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ile</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destek</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olunmaktadır</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Bunlardan</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ilki</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üniversitemiz</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lisans</w:t>
      </w:r>
      <w:proofErr w:type="spellEnd"/>
      <w:r w:rsidRPr="0079109A">
        <w:rPr>
          <w:rFonts w:ascii="Times New Roman" w:hAnsi="Times New Roman" w:cs="Times New Roman"/>
          <w:iCs/>
          <w:sz w:val="24"/>
          <w:szCs w:val="24"/>
          <w:lang w:val="en-US"/>
        </w:rPr>
        <w:t xml:space="preserve"> 3. </w:t>
      </w:r>
      <w:proofErr w:type="spellStart"/>
      <w:r w:rsidRPr="0079109A">
        <w:rPr>
          <w:rFonts w:ascii="Times New Roman" w:hAnsi="Times New Roman" w:cs="Times New Roman"/>
          <w:iCs/>
          <w:sz w:val="24"/>
          <w:szCs w:val="24"/>
          <w:lang w:val="en-US"/>
        </w:rPr>
        <w:t>ve</w:t>
      </w:r>
      <w:proofErr w:type="spellEnd"/>
      <w:r w:rsidRPr="0079109A">
        <w:rPr>
          <w:rFonts w:ascii="Times New Roman" w:hAnsi="Times New Roman" w:cs="Times New Roman"/>
          <w:iCs/>
          <w:sz w:val="24"/>
          <w:szCs w:val="24"/>
          <w:lang w:val="en-US"/>
        </w:rPr>
        <w:t xml:space="preserve"> 4. </w:t>
      </w:r>
      <w:proofErr w:type="spellStart"/>
      <w:r w:rsidRPr="0079109A">
        <w:rPr>
          <w:rFonts w:ascii="Times New Roman" w:hAnsi="Times New Roman" w:cs="Times New Roman"/>
          <w:iCs/>
          <w:sz w:val="24"/>
          <w:szCs w:val="24"/>
          <w:lang w:val="en-US"/>
        </w:rPr>
        <w:t>sınıf</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öğrencilerine</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yönelik</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b/>
          <w:iCs/>
          <w:sz w:val="24"/>
          <w:szCs w:val="24"/>
          <w:lang w:val="en-US"/>
        </w:rPr>
        <w:t>Bir</w:t>
      </w:r>
      <w:proofErr w:type="spellEnd"/>
      <w:r w:rsidRPr="0079109A">
        <w:rPr>
          <w:rFonts w:ascii="Times New Roman" w:hAnsi="Times New Roman" w:cs="Times New Roman"/>
          <w:b/>
          <w:iCs/>
          <w:sz w:val="24"/>
          <w:szCs w:val="24"/>
          <w:lang w:val="en-US"/>
        </w:rPr>
        <w:t xml:space="preserve"> </w:t>
      </w:r>
      <w:proofErr w:type="spellStart"/>
      <w:r w:rsidRPr="0079109A">
        <w:rPr>
          <w:rFonts w:ascii="Times New Roman" w:hAnsi="Times New Roman" w:cs="Times New Roman"/>
          <w:b/>
          <w:iCs/>
          <w:sz w:val="24"/>
          <w:szCs w:val="24"/>
          <w:lang w:val="en-US"/>
        </w:rPr>
        <w:t>Atılım</w:t>
      </w:r>
      <w:proofErr w:type="spellEnd"/>
      <w:r w:rsidRPr="0079109A">
        <w:rPr>
          <w:rFonts w:ascii="Times New Roman" w:hAnsi="Times New Roman" w:cs="Times New Roman"/>
          <w:b/>
          <w:iCs/>
          <w:sz w:val="24"/>
          <w:szCs w:val="24"/>
          <w:lang w:val="en-US"/>
        </w:rPr>
        <w:t xml:space="preserve"> Yap”</w:t>
      </w:r>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iş</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fikri</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yarışmasıdır</w:t>
      </w:r>
      <w:proofErr w:type="spellEnd"/>
      <w:r w:rsidRPr="0079109A">
        <w:rPr>
          <w:rFonts w:ascii="Times New Roman" w:hAnsi="Times New Roman" w:cs="Times New Roman"/>
          <w:iCs/>
          <w:sz w:val="24"/>
          <w:szCs w:val="24"/>
          <w:lang w:val="en-US"/>
        </w:rPr>
        <w:t xml:space="preserve">. 31 </w:t>
      </w:r>
      <w:proofErr w:type="spellStart"/>
      <w:r w:rsidRPr="0079109A">
        <w:rPr>
          <w:rFonts w:ascii="Times New Roman" w:hAnsi="Times New Roman" w:cs="Times New Roman"/>
          <w:iCs/>
          <w:sz w:val="24"/>
          <w:szCs w:val="24"/>
          <w:lang w:val="en-US"/>
        </w:rPr>
        <w:t>Aralık</w:t>
      </w:r>
      <w:proofErr w:type="spellEnd"/>
      <w:r w:rsidRPr="0079109A">
        <w:rPr>
          <w:rFonts w:ascii="Times New Roman" w:hAnsi="Times New Roman" w:cs="Times New Roman"/>
          <w:iCs/>
          <w:sz w:val="24"/>
          <w:szCs w:val="24"/>
          <w:lang w:val="en-US"/>
        </w:rPr>
        <w:t xml:space="preserve"> 2019 </w:t>
      </w:r>
      <w:proofErr w:type="spellStart"/>
      <w:r w:rsidRPr="0079109A">
        <w:rPr>
          <w:rFonts w:ascii="Times New Roman" w:hAnsi="Times New Roman" w:cs="Times New Roman"/>
          <w:iCs/>
          <w:sz w:val="24"/>
          <w:szCs w:val="24"/>
          <w:lang w:val="en-US"/>
        </w:rPr>
        <w:t>tarihine</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kadar</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üniversitemiz</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öğrencilerinin</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iş</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fikirleri</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toplanmış</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başvurular</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sonrası</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girişimci</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adayları</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değerlendirme</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sürecine</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alınmıştır</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Değerlendirmeyi</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geçen</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adaylara</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eğitim</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mentörlük</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danışmanlık</w:t>
      </w:r>
      <w:proofErr w:type="spellEnd"/>
      <w:r w:rsidRPr="0079109A">
        <w:rPr>
          <w:rFonts w:ascii="Times New Roman" w:hAnsi="Times New Roman" w:cs="Times New Roman"/>
          <w:iCs/>
          <w:sz w:val="24"/>
          <w:szCs w:val="24"/>
          <w:lang w:val="en-US"/>
        </w:rPr>
        <w:t xml:space="preserve"> vb. </w:t>
      </w:r>
      <w:proofErr w:type="spellStart"/>
      <w:r w:rsidRPr="0079109A">
        <w:rPr>
          <w:rFonts w:ascii="Times New Roman" w:hAnsi="Times New Roman" w:cs="Times New Roman"/>
          <w:iCs/>
          <w:sz w:val="24"/>
          <w:szCs w:val="24"/>
          <w:lang w:val="en-US"/>
        </w:rPr>
        <w:t>hizmetler</w:t>
      </w:r>
      <w:proofErr w:type="spellEnd"/>
      <w:r w:rsidRPr="0079109A">
        <w:rPr>
          <w:rFonts w:ascii="Times New Roman" w:hAnsi="Times New Roman" w:cs="Times New Roman"/>
          <w:iCs/>
          <w:sz w:val="24"/>
          <w:szCs w:val="24"/>
          <w:lang w:val="en-US"/>
        </w:rPr>
        <w:t xml:space="preserve"> </w:t>
      </w:r>
      <w:proofErr w:type="spellStart"/>
      <w:r w:rsidRPr="0079109A">
        <w:rPr>
          <w:rFonts w:ascii="Times New Roman" w:hAnsi="Times New Roman" w:cs="Times New Roman"/>
          <w:iCs/>
          <w:sz w:val="24"/>
          <w:szCs w:val="24"/>
          <w:lang w:val="en-US"/>
        </w:rPr>
        <w:t>verilecektir</w:t>
      </w:r>
      <w:proofErr w:type="spellEnd"/>
      <w:r w:rsidRPr="0079109A">
        <w:rPr>
          <w:rFonts w:ascii="Times New Roman" w:hAnsi="Times New Roman" w:cs="Times New Roman"/>
          <w:iCs/>
          <w:sz w:val="24"/>
          <w:szCs w:val="24"/>
          <w:lang w:val="en-US"/>
        </w:rPr>
        <w:t>.</w:t>
      </w:r>
    </w:p>
    <w:p w:rsidR="0079109A" w:rsidRPr="00A61D45" w:rsidRDefault="0079109A" w:rsidP="005C41C4">
      <w:pPr>
        <w:spacing w:after="160" w:line="259" w:lineRule="auto"/>
        <w:jc w:val="both"/>
        <w:rPr>
          <w:rFonts w:ascii="Times New Roman" w:hAnsi="Times New Roman" w:cs="Times New Roman"/>
          <w:sz w:val="24"/>
        </w:rPr>
      </w:pPr>
    </w:p>
    <w:p w:rsidR="00A61D45" w:rsidRPr="00A61D45" w:rsidRDefault="00A61D45" w:rsidP="00A61D45">
      <w:pPr>
        <w:jc w:val="both"/>
        <w:rPr>
          <w:rFonts w:ascii="Times New Roman" w:hAnsi="Times New Roman" w:cs="Times New Roman"/>
          <w:sz w:val="24"/>
          <w:szCs w:val="24"/>
        </w:rPr>
      </w:pPr>
      <w:r w:rsidRPr="00E41CFC">
        <w:rPr>
          <w:rFonts w:ascii="Times New Roman" w:hAnsi="Times New Roman" w:cs="Times New Roman"/>
          <w:sz w:val="24"/>
          <w:szCs w:val="24"/>
        </w:rPr>
        <w:t xml:space="preserve">Araştırma-Geliştirme süreçlerinin yönetimi ve </w:t>
      </w:r>
      <w:proofErr w:type="spellStart"/>
      <w:r w:rsidRPr="00E41CFC">
        <w:rPr>
          <w:rFonts w:ascii="Times New Roman" w:hAnsi="Times New Roman" w:cs="Times New Roman"/>
          <w:sz w:val="24"/>
          <w:szCs w:val="24"/>
        </w:rPr>
        <w:t>organizasyonel</w:t>
      </w:r>
      <w:proofErr w:type="spellEnd"/>
      <w:r w:rsidRPr="00E41CFC">
        <w:rPr>
          <w:rFonts w:ascii="Times New Roman" w:hAnsi="Times New Roman" w:cs="Times New Roman"/>
          <w:sz w:val="24"/>
          <w:szCs w:val="24"/>
        </w:rPr>
        <w:t xml:space="preserve"> yapısı</w:t>
      </w:r>
      <w:r w:rsidR="00E41CFC">
        <w:rPr>
          <w:rFonts w:ascii="Times New Roman" w:hAnsi="Times New Roman" w:cs="Times New Roman"/>
          <w:sz w:val="24"/>
          <w:szCs w:val="24"/>
        </w:rPr>
        <w:t xml:space="preserve"> ile ilgili olarak; </w:t>
      </w:r>
      <w:r w:rsidRPr="00A61D45">
        <w:rPr>
          <w:rFonts w:ascii="Times New Roman" w:hAnsi="Times New Roman" w:cs="Times New Roman"/>
          <w:sz w:val="24"/>
          <w:szCs w:val="24"/>
        </w:rPr>
        <w:t>Araştırma-Geliştirme süreçlerinin yönetimi aşağıda verilen üç organ</w:t>
      </w:r>
      <w:r w:rsidR="003C08F9">
        <w:rPr>
          <w:rFonts w:ascii="Times New Roman" w:hAnsi="Times New Roman" w:cs="Times New Roman"/>
          <w:sz w:val="24"/>
          <w:szCs w:val="24"/>
        </w:rPr>
        <w:t xml:space="preserve"> çerçevesinde ve detayları </w:t>
      </w:r>
      <w:hyperlink r:id="rId15" w:history="1">
        <w:r w:rsidR="003C08F9" w:rsidRPr="00844889">
          <w:rPr>
            <w:rStyle w:val="Kpr"/>
            <w:rFonts w:ascii="Times New Roman" w:hAnsi="Times New Roman" w:cs="Times New Roman"/>
            <w:sz w:val="24"/>
            <w:szCs w:val="24"/>
          </w:rPr>
          <w:t xml:space="preserve">C.1.2_ARGEDA-TTO </w:t>
        </w:r>
        <w:proofErr w:type="spellStart"/>
        <w:r w:rsidR="003C08F9" w:rsidRPr="00844889">
          <w:rPr>
            <w:rStyle w:val="Kpr"/>
            <w:rFonts w:ascii="Times New Roman" w:hAnsi="Times New Roman" w:cs="Times New Roman"/>
            <w:sz w:val="24"/>
            <w:szCs w:val="24"/>
          </w:rPr>
          <w:t>Yapi</w:t>
        </w:r>
        <w:proofErr w:type="spellEnd"/>
        <w:r w:rsidR="003C08F9" w:rsidRPr="00844889">
          <w:rPr>
            <w:rStyle w:val="Kpr"/>
            <w:rFonts w:ascii="Times New Roman" w:hAnsi="Times New Roman" w:cs="Times New Roman"/>
            <w:sz w:val="24"/>
            <w:szCs w:val="24"/>
          </w:rPr>
          <w:t xml:space="preserve"> ve </w:t>
        </w:r>
        <w:proofErr w:type="spellStart"/>
        <w:r w:rsidR="003C08F9" w:rsidRPr="00844889">
          <w:rPr>
            <w:rStyle w:val="Kpr"/>
            <w:rFonts w:ascii="Times New Roman" w:hAnsi="Times New Roman" w:cs="Times New Roman"/>
            <w:sz w:val="24"/>
            <w:szCs w:val="24"/>
          </w:rPr>
          <w:t>Isleyis</w:t>
        </w:r>
        <w:proofErr w:type="spellEnd"/>
        <w:r w:rsidR="003C08F9" w:rsidRPr="00844889">
          <w:rPr>
            <w:rStyle w:val="Kpr"/>
            <w:rFonts w:ascii="Times New Roman" w:hAnsi="Times New Roman" w:cs="Times New Roman"/>
            <w:sz w:val="24"/>
            <w:szCs w:val="24"/>
          </w:rPr>
          <w:t xml:space="preserve"> </w:t>
        </w:r>
        <w:proofErr w:type="gramStart"/>
        <w:r w:rsidR="003C08F9" w:rsidRPr="00844889">
          <w:rPr>
            <w:rStyle w:val="Kpr"/>
            <w:rFonts w:ascii="Times New Roman" w:hAnsi="Times New Roman" w:cs="Times New Roman"/>
            <w:sz w:val="24"/>
            <w:szCs w:val="24"/>
          </w:rPr>
          <w:t>Yonergesi.pdf</w:t>
        </w:r>
        <w:proofErr w:type="gramEnd"/>
      </w:hyperlink>
      <w:r w:rsidRPr="00A61D45">
        <w:rPr>
          <w:rFonts w:ascii="Times New Roman" w:hAnsi="Times New Roman" w:cs="Times New Roman"/>
          <w:sz w:val="24"/>
          <w:szCs w:val="24"/>
        </w:rPr>
        <w:t xml:space="preserve"> </w:t>
      </w:r>
      <w:r w:rsidR="003C08F9">
        <w:rPr>
          <w:rFonts w:ascii="Times New Roman" w:hAnsi="Times New Roman" w:cs="Times New Roman"/>
          <w:sz w:val="24"/>
          <w:szCs w:val="24"/>
        </w:rPr>
        <w:t xml:space="preserve">içerisinde verilmekle birlikte </w:t>
      </w:r>
      <w:r w:rsidRPr="00A61D45">
        <w:rPr>
          <w:rFonts w:ascii="Times New Roman" w:hAnsi="Times New Roman" w:cs="Times New Roman"/>
          <w:sz w:val="24"/>
          <w:szCs w:val="24"/>
        </w:rPr>
        <w:t xml:space="preserve">yapılmaktadır. </w:t>
      </w:r>
    </w:p>
    <w:p w:rsidR="00A61D45" w:rsidRPr="00E41CFC" w:rsidRDefault="00A61D45" w:rsidP="00E41CFC">
      <w:pPr>
        <w:pStyle w:val="ListeParagraf"/>
        <w:numPr>
          <w:ilvl w:val="0"/>
          <w:numId w:val="10"/>
        </w:numPr>
        <w:jc w:val="both"/>
        <w:rPr>
          <w:rFonts w:ascii="Times New Roman" w:hAnsi="Times New Roman" w:cs="Times New Roman"/>
          <w:i/>
          <w:sz w:val="24"/>
          <w:szCs w:val="24"/>
        </w:rPr>
      </w:pPr>
      <w:r w:rsidRPr="00E41CFC">
        <w:rPr>
          <w:rFonts w:ascii="Times New Roman" w:hAnsi="Times New Roman" w:cs="Times New Roman"/>
          <w:i/>
          <w:sz w:val="24"/>
          <w:szCs w:val="24"/>
        </w:rPr>
        <w:t>Üniversite Araştırma Kurulu</w:t>
      </w:r>
    </w:p>
    <w:p w:rsidR="00A61D45" w:rsidRPr="00E41CFC" w:rsidRDefault="00A61D45" w:rsidP="00E41CFC">
      <w:pPr>
        <w:pStyle w:val="ListeParagraf"/>
        <w:numPr>
          <w:ilvl w:val="0"/>
          <w:numId w:val="10"/>
        </w:numPr>
        <w:jc w:val="both"/>
        <w:rPr>
          <w:rFonts w:ascii="Times New Roman" w:hAnsi="Times New Roman" w:cs="Times New Roman"/>
          <w:i/>
          <w:sz w:val="24"/>
          <w:szCs w:val="24"/>
        </w:rPr>
      </w:pPr>
      <w:r w:rsidRPr="00E41CFC">
        <w:rPr>
          <w:rFonts w:ascii="Times New Roman" w:hAnsi="Times New Roman" w:cs="Times New Roman"/>
          <w:i/>
          <w:sz w:val="24"/>
          <w:szCs w:val="24"/>
        </w:rPr>
        <w:t>Araştırmadan Sorumlu Rektör Yardımcılığı</w:t>
      </w:r>
    </w:p>
    <w:p w:rsidR="00A61D45" w:rsidRPr="00E41CFC" w:rsidRDefault="00A61D45" w:rsidP="00E41CFC">
      <w:pPr>
        <w:pStyle w:val="ListeParagraf"/>
        <w:numPr>
          <w:ilvl w:val="0"/>
          <w:numId w:val="10"/>
        </w:numPr>
        <w:jc w:val="both"/>
        <w:rPr>
          <w:rFonts w:ascii="Times New Roman" w:hAnsi="Times New Roman" w:cs="Times New Roman"/>
          <w:i/>
          <w:sz w:val="24"/>
          <w:szCs w:val="24"/>
        </w:rPr>
      </w:pPr>
      <w:r w:rsidRPr="00E41CFC">
        <w:rPr>
          <w:rFonts w:ascii="Times New Roman" w:hAnsi="Times New Roman" w:cs="Times New Roman"/>
          <w:i/>
          <w:sz w:val="24"/>
          <w:szCs w:val="24"/>
        </w:rPr>
        <w:t>ARGEDA-TTO Direktörlüğü</w:t>
      </w:r>
    </w:p>
    <w:p w:rsidR="00393C3F" w:rsidRDefault="00393C3F" w:rsidP="00A61D45">
      <w:pPr>
        <w:jc w:val="both"/>
        <w:rPr>
          <w:rFonts w:ascii="Times New Roman" w:hAnsi="Times New Roman" w:cs="Times New Roman"/>
          <w:sz w:val="24"/>
          <w:szCs w:val="24"/>
        </w:rPr>
      </w:pPr>
    </w:p>
    <w:p w:rsidR="00A61D45" w:rsidRDefault="00A61D45" w:rsidP="00A61D45">
      <w:pPr>
        <w:jc w:val="both"/>
        <w:rPr>
          <w:rFonts w:ascii="Times New Roman" w:hAnsi="Times New Roman" w:cs="Times New Roman"/>
          <w:sz w:val="24"/>
          <w:szCs w:val="24"/>
        </w:rPr>
      </w:pPr>
      <w:r w:rsidRPr="00A61D45">
        <w:rPr>
          <w:rFonts w:ascii="Times New Roman" w:hAnsi="Times New Roman" w:cs="Times New Roman"/>
          <w:sz w:val="24"/>
          <w:szCs w:val="24"/>
        </w:rPr>
        <w:lastRenderedPageBreak/>
        <w:t xml:space="preserve">Üniversite Araştırma Kurulu; Üniversite'deki araştırma ortamının ve </w:t>
      </w:r>
      <w:proofErr w:type="spellStart"/>
      <w:r w:rsidRPr="00A61D45">
        <w:rPr>
          <w:rFonts w:ascii="Times New Roman" w:hAnsi="Times New Roman" w:cs="Times New Roman"/>
          <w:sz w:val="24"/>
          <w:szCs w:val="24"/>
        </w:rPr>
        <w:t>disiplinlerarası</w:t>
      </w:r>
      <w:proofErr w:type="spellEnd"/>
      <w:r w:rsidRPr="00A61D45">
        <w:rPr>
          <w:rFonts w:ascii="Times New Roman" w:hAnsi="Times New Roman" w:cs="Times New Roman"/>
          <w:sz w:val="24"/>
          <w:szCs w:val="24"/>
        </w:rPr>
        <w:t xml:space="preserve"> çalışmaların belirlenmesi ve geliştirilmesinin teşvik edilmesi, ulusal ve uluslararası boyutlarda Üniversite'nin etkinliğinin arttırılması, ilgili Akademik Birimlerin koordinasyonu ile Üniversite düzeyinde işbirliğini sağlar. Üniversite Araştırma Kurulunun Üyeleri: Rektör (Kurul’un başkanıdır)</w:t>
      </w:r>
      <w:r w:rsidR="00393C3F">
        <w:rPr>
          <w:rFonts w:ascii="Times New Roman" w:hAnsi="Times New Roman" w:cs="Times New Roman"/>
          <w:sz w:val="24"/>
          <w:szCs w:val="24"/>
        </w:rPr>
        <w:t>,</w:t>
      </w:r>
      <w:r w:rsidRPr="00A61D45">
        <w:rPr>
          <w:rFonts w:ascii="Times New Roman" w:hAnsi="Times New Roman" w:cs="Times New Roman"/>
          <w:sz w:val="24"/>
          <w:szCs w:val="24"/>
        </w:rPr>
        <w:t xml:space="preserve"> Mütevelli Heyeti Başkanlığı tarafından seçilen bir üye</w:t>
      </w:r>
      <w:r w:rsidR="00393C3F">
        <w:rPr>
          <w:rFonts w:ascii="Times New Roman" w:hAnsi="Times New Roman" w:cs="Times New Roman"/>
          <w:sz w:val="24"/>
          <w:szCs w:val="24"/>
        </w:rPr>
        <w:t xml:space="preserve">, Rektör Yardımcısı, </w:t>
      </w:r>
      <w:r w:rsidRPr="00A61D45">
        <w:rPr>
          <w:rFonts w:ascii="Times New Roman" w:hAnsi="Times New Roman" w:cs="Times New Roman"/>
          <w:sz w:val="24"/>
          <w:szCs w:val="24"/>
        </w:rPr>
        <w:t xml:space="preserve">Fakülte </w:t>
      </w:r>
      <w:r w:rsidR="00393C3F">
        <w:rPr>
          <w:rFonts w:ascii="Times New Roman" w:hAnsi="Times New Roman" w:cs="Times New Roman"/>
          <w:sz w:val="24"/>
          <w:szCs w:val="24"/>
        </w:rPr>
        <w:t xml:space="preserve">Dekanları, </w:t>
      </w:r>
      <w:r w:rsidRPr="00A61D45">
        <w:rPr>
          <w:rFonts w:ascii="Times New Roman" w:hAnsi="Times New Roman" w:cs="Times New Roman"/>
          <w:sz w:val="24"/>
          <w:szCs w:val="24"/>
        </w:rPr>
        <w:t>Yüksekokul Müdürleri</w:t>
      </w:r>
      <w:r w:rsidR="00393C3F">
        <w:rPr>
          <w:rFonts w:ascii="Times New Roman" w:hAnsi="Times New Roman" w:cs="Times New Roman"/>
          <w:sz w:val="24"/>
          <w:szCs w:val="24"/>
        </w:rPr>
        <w:t xml:space="preserve">, </w:t>
      </w:r>
      <w:r w:rsidRPr="00A61D45">
        <w:rPr>
          <w:rFonts w:ascii="Times New Roman" w:hAnsi="Times New Roman" w:cs="Times New Roman"/>
          <w:sz w:val="24"/>
          <w:szCs w:val="24"/>
        </w:rPr>
        <w:t>Enstitü Müdürleri</w:t>
      </w:r>
      <w:r w:rsidR="00393C3F">
        <w:rPr>
          <w:rFonts w:ascii="Times New Roman" w:hAnsi="Times New Roman" w:cs="Times New Roman"/>
          <w:sz w:val="24"/>
          <w:szCs w:val="24"/>
        </w:rPr>
        <w:t xml:space="preserve">, </w:t>
      </w:r>
      <w:r w:rsidRPr="00A61D45">
        <w:rPr>
          <w:rFonts w:ascii="Times New Roman" w:hAnsi="Times New Roman" w:cs="Times New Roman"/>
          <w:sz w:val="24"/>
          <w:szCs w:val="24"/>
        </w:rPr>
        <w:t xml:space="preserve">ARGEDA-TTO Direktörü </w:t>
      </w:r>
      <w:r w:rsidR="00393C3F">
        <w:rPr>
          <w:rFonts w:ascii="Times New Roman" w:hAnsi="Times New Roman" w:cs="Times New Roman"/>
          <w:sz w:val="24"/>
          <w:szCs w:val="24"/>
        </w:rPr>
        <w:t>şeklindedir.</w:t>
      </w:r>
    </w:p>
    <w:p w:rsidR="00644072" w:rsidRPr="00A61D45" w:rsidRDefault="00644072" w:rsidP="00A61D45">
      <w:pPr>
        <w:jc w:val="both"/>
        <w:rPr>
          <w:rFonts w:ascii="Times New Roman" w:hAnsi="Times New Roman" w:cs="Times New Roman"/>
          <w:sz w:val="24"/>
          <w:szCs w:val="24"/>
        </w:rPr>
      </w:pPr>
    </w:p>
    <w:p w:rsidR="00A61D45" w:rsidRPr="00A61D45" w:rsidRDefault="00A61D45" w:rsidP="00A61D45">
      <w:pPr>
        <w:jc w:val="both"/>
        <w:rPr>
          <w:rFonts w:ascii="Times New Roman" w:hAnsi="Times New Roman" w:cs="Times New Roman"/>
          <w:sz w:val="24"/>
          <w:szCs w:val="24"/>
        </w:rPr>
      </w:pPr>
      <w:r w:rsidRPr="00A61D45">
        <w:rPr>
          <w:rFonts w:ascii="Times New Roman" w:hAnsi="Times New Roman" w:cs="Times New Roman"/>
          <w:sz w:val="24"/>
          <w:szCs w:val="24"/>
        </w:rPr>
        <w:t xml:space="preserve">Üniversite Araştırma Kurulu akademik yıl içerisinde en az bir kez toplanır. Görevleri şunlardır: </w:t>
      </w:r>
    </w:p>
    <w:p w:rsidR="00A61D45" w:rsidRPr="00A61D45" w:rsidRDefault="00A61D45" w:rsidP="00A61D45">
      <w:pPr>
        <w:jc w:val="both"/>
        <w:rPr>
          <w:rFonts w:ascii="Times New Roman" w:hAnsi="Times New Roman" w:cs="Times New Roman"/>
          <w:sz w:val="24"/>
          <w:szCs w:val="24"/>
        </w:rPr>
      </w:pPr>
      <w:r w:rsidRPr="00A61D45">
        <w:rPr>
          <w:rFonts w:ascii="Times New Roman" w:hAnsi="Times New Roman" w:cs="Times New Roman"/>
          <w:sz w:val="24"/>
          <w:szCs w:val="24"/>
        </w:rPr>
        <w:t xml:space="preserve">a) Üniversite’nin Ar-ge, tasarım ve yenilik ile teknoloji ve bilgi transferi faaliyetleri konusundaki stratejisini belirlemek, gerektiğinde üniversite içi görevlendirme yapmak; </w:t>
      </w:r>
    </w:p>
    <w:p w:rsidR="00A61D45" w:rsidRPr="00A61D45" w:rsidRDefault="00A61D45" w:rsidP="00A61D45">
      <w:pPr>
        <w:jc w:val="both"/>
        <w:rPr>
          <w:rFonts w:ascii="Times New Roman" w:hAnsi="Times New Roman" w:cs="Times New Roman"/>
          <w:sz w:val="24"/>
          <w:szCs w:val="24"/>
        </w:rPr>
      </w:pPr>
      <w:r w:rsidRPr="00A61D45">
        <w:rPr>
          <w:rFonts w:ascii="Times New Roman" w:hAnsi="Times New Roman" w:cs="Times New Roman"/>
          <w:sz w:val="24"/>
          <w:szCs w:val="24"/>
        </w:rPr>
        <w:t xml:space="preserve">b) Üniversite stratejik planına uygun olarak akademik yıl içinde uygulanması öngörülen araştırma ve teknoloji transfer stratejilerini belirlemek; </w:t>
      </w:r>
    </w:p>
    <w:p w:rsidR="00A61D45" w:rsidRPr="00A61D45" w:rsidRDefault="00A61D45" w:rsidP="00A61D45">
      <w:pPr>
        <w:jc w:val="both"/>
        <w:rPr>
          <w:rFonts w:ascii="Times New Roman" w:hAnsi="Times New Roman" w:cs="Times New Roman"/>
          <w:sz w:val="24"/>
          <w:szCs w:val="24"/>
        </w:rPr>
      </w:pPr>
      <w:r w:rsidRPr="00A61D45">
        <w:rPr>
          <w:rFonts w:ascii="Times New Roman" w:hAnsi="Times New Roman" w:cs="Times New Roman"/>
          <w:sz w:val="24"/>
          <w:szCs w:val="24"/>
        </w:rPr>
        <w:t xml:space="preserve">c) Akademik yıl içinde yürütülen tüm proje ve çalışmaları nitelik, sayısal ve bütçe ölçütleri ile değerlendirmek, değerlendirme sonuçlarını Mütevelli Heyeti Başkanlığı’na rapor halinde sunmak; </w:t>
      </w:r>
    </w:p>
    <w:p w:rsidR="00A61D45" w:rsidRPr="00A61D45" w:rsidRDefault="00A61D45" w:rsidP="00A61D45">
      <w:pPr>
        <w:jc w:val="both"/>
        <w:rPr>
          <w:rFonts w:ascii="Times New Roman" w:hAnsi="Times New Roman" w:cs="Times New Roman"/>
          <w:sz w:val="24"/>
          <w:szCs w:val="24"/>
        </w:rPr>
      </w:pPr>
      <w:r w:rsidRPr="00A61D45">
        <w:rPr>
          <w:rFonts w:ascii="Times New Roman" w:hAnsi="Times New Roman" w:cs="Times New Roman"/>
          <w:sz w:val="24"/>
          <w:szCs w:val="24"/>
        </w:rPr>
        <w:t>d) ARGEDA-TTO Yürütme Kurulu’nun proje önerileri ile ilgili tavsiye kararlarını değerlendirmek ve Mütevelli Heyeti’nin görüşünü alarak nihai kararı vermek.</w:t>
      </w:r>
    </w:p>
    <w:p w:rsidR="00EE3B57" w:rsidRDefault="00A61D45" w:rsidP="00A61D45">
      <w:pPr>
        <w:jc w:val="both"/>
        <w:rPr>
          <w:rFonts w:ascii="Times New Roman" w:hAnsi="Times New Roman" w:cs="Times New Roman"/>
          <w:sz w:val="24"/>
          <w:szCs w:val="24"/>
        </w:rPr>
      </w:pPr>
      <w:r w:rsidRPr="00A61D45">
        <w:rPr>
          <w:rFonts w:ascii="Times New Roman" w:hAnsi="Times New Roman" w:cs="Times New Roman"/>
          <w:sz w:val="24"/>
          <w:szCs w:val="24"/>
        </w:rPr>
        <w:t xml:space="preserve">Her takvim yılının sonuna doğru toplanan Üniversite Araştırma Kurulunda; Araştırmadan sorumlu Rektör Yardımcılığı ve ARGEDA-TTO Direktörlüğü tarafından oluşturulmuş ve analiz edilmiş veriler sunulmakta ve tartışılmaktadır. Üniversite Araştırma Kurulu öncesinde dağıtılan bilgi kitapçığında yayınlar, atıflar, iç ve dış destekli projeler, patentlere ilişkin veriler sunulmaktadır. </w:t>
      </w:r>
    </w:p>
    <w:p w:rsidR="001E1B5D" w:rsidRDefault="001E1B5D" w:rsidP="00A61D45">
      <w:pPr>
        <w:jc w:val="both"/>
        <w:rPr>
          <w:rFonts w:ascii="Times New Roman" w:hAnsi="Times New Roman" w:cs="Times New Roman"/>
          <w:sz w:val="24"/>
          <w:szCs w:val="24"/>
        </w:rPr>
      </w:pPr>
    </w:p>
    <w:p w:rsidR="001E1B5D" w:rsidRDefault="00A61D45" w:rsidP="00A61D45">
      <w:pPr>
        <w:jc w:val="both"/>
        <w:rPr>
          <w:rFonts w:ascii="Times New Roman" w:hAnsi="Times New Roman" w:cs="Times New Roman"/>
          <w:sz w:val="24"/>
          <w:szCs w:val="24"/>
        </w:rPr>
      </w:pPr>
      <w:r w:rsidRPr="00A61D45">
        <w:rPr>
          <w:rFonts w:ascii="Times New Roman" w:hAnsi="Times New Roman" w:cs="Times New Roman"/>
          <w:sz w:val="24"/>
          <w:szCs w:val="24"/>
        </w:rPr>
        <w:t>Bu veriler ışığında yeni yıla ait hedefler ve bu hedeflerin gerçekleştirilmesi için oluşturulması gereken yeni mekanizmalar da raporlanmaktadır.</w:t>
      </w:r>
    </w:p>
    <w:p w:rsidR="00A61D45" w:rsidRPr="00A61D45" w:rsidRDefault="00A61D45" w:rsidP="00A61D45">
      <w:pPr>
        <w:jc w:val="both"/>
        <w:rPr>
          <w:rFonts w:ascii="Times New Roman" w:hAnsi="Times New Roman" w:cs="Times New Roman"/>
          <w:sz w:val="24"/>
          <w:szCs w:val="24"/>
        </w:rPr>
      </w:pPr>
      <w:r w:rsidRPr="00A61D45">
        <w:rPr>
          <w:rFonts w:ascii="Times New Roman" w:hAnsi="Times New Roman" w:cs="Times New Roman"/>
          <w:sz w:val="24"/>
          <w:szCs w:val="24"/>
        </w:rPr>
        <w:t xml:space="preserve"> </w:t>
      </w:r>
    </w:p>
    <w:p w:rsidR="00A61D45" w:rsidRDefault="00A61D45" w:rsidP="00A61D45">
      <w:pPr>
        <w:jc w:val="both"/>
        <w:rPr>
          <w:rFonts w:ascii="Times New Roman" w:hAnsi="Times New Roman" w:cs="Times New Roman"/>
          <w:sz w:val="24"/>
          <w:szCs w:val="24"/>
        </w:rPr>
      </w:pPr>
      <w:r w:rsidRPr="00A61D45">
        <w:rPr>
          <w:rFonts w:ascii="Times New Roman" w:hAnsi="Times New Roman" w:cs="Times New Roman"/>
          <w:sz w:val="24"/>
          <w:szCs w:val="24"/>
        </w:rPr>
        <w:t>ARGEDA-TTO Direktörlüğü; Üniversite Araştırma Kurulu tarafından alınan stratejik kararların icra edilmesi, Üniversite Araştırma Kurulu tarafından alınan stratejik kararlar ile ilgili süreçlerin oluşturulması ve iç destekli araştırma projelerinin duyurulması, değerlendirilmesi, izlenmesi, koordinasyonunu sağlar.</w:t>
      </w:r>
    </w:p>
    <w:p w:rsidR="001E1B5D" w:rsidRPr="00A61D45" w:rsidRDefault="001E1B5D" w:rsidP="00A61D45">
      <w:pPr>
        <w:jc w:val="both"/>
        <w:rPr>
          <w:rFonts w:ascii="Times New Roman" w:hAnsi="Times New Roman" w:cs="Times New Roman"/>
          <w:sz w:val="24"/>
          <w:szCs w:val="24"/>
        </w:rPr>
      </w:pPr>
    </w:p>
    <w:p w:rsidR="00A61D45" w:rsidRPr="005957C6" w:rsidRDefault="00977688" w:rsidP="00A61D45">
      <w:pPr>
        <w:jc w:val="both"/>
        <w:rPr>
          <w:rFonts w:ascii="Times New Roman" w:hAnsi="Times New Roman" w:cs="Times New Roman"/>
          <w:sz w:val="24"/>
          <w:szCs w:val="24"/>
        </w:rPr>
      </w:pPr>
      <w:proofErr w:type="gramStart"/>
      <w:r w:rsidRPr="005957C6">
        <w:rPr>
          <w:rFonts w:ascii="Times New Roman" w:hAnsi="Times New Roman" w:cs="Times New Roman"/>
          <w:sz w:val="24"/>
          <w:szCs w:val="24"/>
        </w:rPr>
        <w:t>Son olarak a</w:t>
      </w:r>
      <w:r w:rsidR="00A61D45" w:rsidRPr="005957C6">
        <w:rPr>
          <w:rFonts w:ascii="Times New Roman" w:hAnsi="Times New Roman" w:cs="Times New Roman"/>
          <w:sz w:val="24"/>
          <w:szCs w:val="24"/>
        </w:rPr>
        <w:t>raştırmaların yerel/bölgesel/ulusal kalkınma hedefleriyle ilişkisi</w:t>
      </w:r>
      <w:r w:rsidRPr="005957C6">
        <w:rPr>
          <w:rFonts w:ascii="Times New Roman" w:hAnsi="Times New Roman" w:cs="Times New Roman"/>
          <w:sz w:val="24"/>
          <w:szCs w:val="24"/>
        </w:rPr>
        <w:t xml:space="preserve">; </w:t>
      </w:r>
      <w:r w:rsidR="00A61D45" w:rsidRPr="005957C6">
        <w:rPr>
          <w:rFonts w:ascii="Times New Roman" w:hAnsi="Times New Roman" w:cs="Times New Roman"/>
          <w:sz w:val="24"/>
          <w:szCs w:val="24"/>
        </w:rPr>
        <w:t>Usul ve esasları</w:t>
      </w:r>
      <w:r w:rsidR="00A61D45" w:rsidRPr="00797079">
        <w:rPr>
          <w:sz w:val="24"/>
          <w:szCs w:val="24"/>
        </w:rPr>
        <w:t xml:space="preserve"> </w:t>
      </w:r>
      <w:r w:rsidR="00A61D45" w:rsidRPr="00D746EA">
        <w:rPr>
          <w:rFonts w:ascii="Times New Roman" w:hAnsi="Times New Roman" w:cs="Times New Roman"/>
          <w:sz w:val="24"/>
          <w:szCs w:val="24"/>
        </w:rPr>
        <w:t>verilmiş</w:t>
      </w:r>
      <w:r w:rsidR="00A61D45" w:rsidRPr="005957C6">
        <w:rPr>
          <w:rFonts w:ascii="Times New Roman" w:hAnsi="Times New Roman" w:cs="Times New Roman"/>
          <w:sz w:val="24"/>
          <w:szCs w:val="24"/>
        </w:rPr>
        <w:t xml:space="preserve"> olan </w:t>
      </w:r>
      <w:r w:rsidR="00D746EA">
        <w:rPr>
          <w:rFonts w:ascii="Times New Roman" w:hAnsi="Times New Roman" w:cs="Times New Roman"/>
          <w:sz w:val="24"/>
          <w:szCs w:val="24"/>
        </w:rPr>
        <w:t>“</w:t>
      </w:r>
      <w:hyperlink r:id="rId16" w:history="1">
        <w:r w:rsidR="00A61D45" w:rsidRPr="00D746EA">
          <w:rPr>
            <w:rStyle w:val="Kpr"/>
            <w:rFonts w:ascii="Times New Roman" w:hAnsi="Times New Roman" w:cs="Times New Roman"/>
            <w:sz w:val="24"/>
            <w:szCs w:val="24"/>
          </w:rPr>
          <w:t>Araştırma Destek Programı</w:t>
        </w:r>
      </w:hyperlink>
      <w:r w:rsidR="00D746EA">
        <w:rPr>
          <w:rFonts w:ascii="Times New Roman" w:hAnsi="Times New Roman" w:cs="Times New Roman"/>
          <w:sz w:val="24"/>
          <w:szCs w:val="24"/>
        </w:rPr>
        <w:t>”</w:t>
      </w:r>
      <w:r w:rsidR="00A61D45" w:rsidRPr="005957C6">
        <w:rPr>
          <w:rFonts w:ascii="Times New Roman" w:hAnsi="Times New Roman" w:cs="Times New Roman"/>
          <w:sz w:val="24"/>
          <w:szCs w:val="24"/>
        </w:rPr>
        <w:t xml:space="preserve"> </w:t>
      </w:r>
      <w:r w:rsidR="00A61D45" w:rsidRPr="005957C6">
        <w:rPr>
          <w:rFonts w:ascii="Times New Roman" w:hAnsi="Times New Roman" w:cs="Times New Roman"/>
          <w:color w:val="262626"/>
          <w:sz w:val="24"/>
          <w:szCs w:val="24"/>
          <w:shd w:val="clear" w:color="auto" w:fill="FFFFFF"/>
        </w:rPr>
        <w:t>programının amacı, hem “Ulusal Bilim Teknoloji ve Yenilik Stratejisi çerçevesinde” hem de Üniversitemiz tarafından belirlenmiş öncelikli alanlarda araştırmacılarımızın daha büyük hacimli dış fonlardan yararlanabilmelerine olanak sağlamak için bir ön çalışma ve alt yapı desteği sağlamaktır.</w:t>
      </w:r>
      <w:proofErr w:type="gramEnd"/>
    </w:p>
    <w:p w:rsidR="00A61D45" w:rsidRDefault="00A61D45" w:rsidP="005C41C4">
      <w:pPr>
        <w:spacing w:after="160" w:line="259" w:lineRule="auto"/>
        <w:jc w:val="both"/>
        <w:rPr>
          <w:rFonts w:ascii="Times New Roman" w:hAnsi="Times New Roman" w:cs="Times New Roman"/>
          <w:sz w:val="24"/>
        </w:rPr>
      </w:pPr>
    </w:p>
    <w:p w:rsidR="00141136" w:rsidRDefault="00141136" w:rsidP="00141136">
      <w:pPr>
        <w:widowControl/>
        <w:spacing w:after="60" w:line="259" w:lineRule="auto"/>
        <w:jc w:val="both"/>
        <w:rPr>
          <w:rFonts w:ascii="Times New Roman" w:eastAsia="Calibri" w:hAnsi="Times New Roman" w:cs="Times New Roman"/>
          <w:sz w:val="24"/>
        </w:rPr>
      </w:pPr>
      <w:r w:rsidRPr="006217C4">
        <w:rPr>
          <w:rFonts w:ascii="Times New Roman" w:eastAsia="Calibri" w:hAnsi="Times New Roman" w:cs="Times New Roman"/>
          <w:sz w:val="24"/>
        </w:rPr>
        <w:t>Bu alan dâhilindeki akademik ve idari göstergeler, çalışmalar ve çıktılara ör</w:t>
      </w:r>
      <w:r>
        <w:rPr>
          <w:rFonts w:ascii="Times New Roman" w:eastAsia="Calibri" w:hAnsi="Times New Roman" w:cs="Times New Roman"/>
          <w:sz w:val="24"/>
        </w:rPr>
        <w:t>neklem niteliğinde olmak üzere</w:t>
      </w:r>
      <w:r w:rsidRPr="006217C4">
        <w:rPr>
          <w:rFonts w:ascii="Times New Roman" w:eastAsia="Calibri" w:hAnsi="Times New Roman" w:cs="Times New Roman"/>
          <w:sz w:val="24"/>
        </w:rPr>
        <w:t xml:space="preserve">, </w:t>
      </w:r>
      <w:hyperlink r:id="rId17" w:history="1">
        <w:r w:rsidRPr="006217C4">
          <w:rPr>
            <w:rStyle w:val="Kpr"/>
            <w:rFonts w:ascii="Times New Roman" w:eastAsia="Calibri" w:hAnsi="Times New Roman" w:cs="Times New Roman"/>
            <w:sz w:val="24"/>
          </w:rPr>
          <w:t xml:space="preserve">detay kanıt kütüphanesi için </w:t>
        </w:r>
        <w:proofErr w:type="spellStart"/>
        <w:r w:rsidRPr="006217C4">
          <w:rPr>
            <w:rStyle w:val="Kpr"/>
            <w:rFonts w:ascii="Times New Roman" w:eastAsia="Calibri" w:hAnsi="Times New Roman" w:cs="Times New Roman"/>
            <w:sz w:val="24"/>
          </w:rPr>
          <w:t>link’e</w:t>
        </w:r>
        <w:proofErr w:type="spellEnd"/>
        <w:r w:rsidRPr="006217C4">
          <w:rPr>
            <w:rStyle w:val="Kpr"/>
            <w:rFonts w:ascii="Times New Roman" w:eastAsia="Calibri" w:hAnsi="Times New Roman" w:cs="Times New Roman"/>
            <w:sz w:val="24"/>
          </w:rPr>
          <w:t xml:space="preserve"> tıklayabilirsiniz</w:t>
        </w:r>
      </w:hyperlink>
      <w:r>
        <w:rPr>
          <w:rFonts w:ascii="Times New Roman" w:eastAsia="Calibri" w:hAnsi="Times New Roman" w:cs="Times New Roman"/>
          <w:sz w:val="24"/>
        </w:rPr>
        <w:t>.</w:t>
      </w:r>
    </w:p>
    <w:p w:rsidR="00D01FA7" w:rsidRDefault="006D7FD5" w:rsidP="006D7FD5">
      <w:pPr>
        <w:pStyle w:val="ListeParagraf"/>
        <w:widowControl/>
        <w:numPr>
          <w:ilvl w:val="0"/>
          <w:numId w:val="3"/>
        </w:numPr>
        <w:spacing w:after="60" w:line="259" w:lineRule="auto"/>
        <w:rPr>
          <w:rFonts w:ascii="Times New Roman" w:eastAsia="Calibri" w:hAnsi="Times New Roman" w:cs="Times New Roman"/>
          <w:sz w:val="24"/>
        </w:rPr>
      </w:pPr>
      <w:bookmarkStart w:id="7" w:name="_Toc534375315"/>
      <w:r w:rsidRPr="006D7FD5">
        <w:rPr>
          <w:rFonts w:ascii="Times New Roman" w:eastAsia="Calibri" w:hAnsi="Times New Roman" w:cs="Times New Roman"/>
          <w:sz w:val="24"/>
        </w:rPr>
        <w:t xml:space="preserve">C.1.1_ARGEDA-TTO </w:t>
      </w:r>
      <w:proofErr w:type="spellStart"/>
      <w:r w:rsidRPr="006D7FD5">
        <w:rPr>
          <w:rFonts w:ascii="Times New Roman" w:eastAsia="Calibri" w:hAnsi="Times New Roman" w:cs="Times New Roman"/>
          <w:sz w:val="24"/>
        </w:rPr>
        <w:t>Danismanlik</w:t>
      </w:r>
      <w:proofErr w:type="spellEnd"/>
      <w:r w:rsidRPr="006D7FD5">
        <w:rPr>
          <w:rFonts w:ascii="Times New Roman" w:eastAsia="Calibri" w:hAnsi="Times New Roman" w:cs="Times New Roman"/>
          <w:sz w:val="24"/>
        </w:rPr>
        <w:t xml:space="preserve"> Projeleri Uygulama </w:t>
      </w:r>
      <w:proofErr w:type="gramStart"/>
      <w:r w:rsidRPr="006D7FD5">
        <w:rPr>
          <w:rFonts w:ascii="Times New Roman" w:eastAsia="Calibri" w:hAnsi="Times New Roman" w:cs="Times New Roman"/>
          <w:sz w:val="24"/>
        </w:rPr>
        <w:t>Yonergesi</w:t>
      </w:r>
      <w:r>
        <w:rPr>
          <w:rFonts w:ascii="Times New Roman" w:eastAsia="Calibri" w:hAnsi="Times New Roman" w:cs="Times New Roman"/>
          <w:sz w:val="24"/>
        </w:rPr>
        <w:t>.pdf</w:t>
      </w:r>
      <w:proofErr w:type="gramEnd"/>
    </w:p>
    <w:p w:rsidR="001C70E0" w:rsidRDefault="001C70E0" w:rsidP="001C70E0">
      <w:pPr>
        <w:pStyle w:val="ListeParagraf"/>
        <w:widowControl/>
        <w:numPr>
          <w:ilvl w:val="0"/>
          <w:numId w:val="3"/>
        </w:numPr>
        <w:spacing w:after="60" w:line="259" w:lineRule="auto"/>
        <w:rPr>
          <w:rFonts w:ascii="Times New Roman" w:eastAsia="Calibri" w:hAnsi="Times New Roman" w:cs="Times New Roman"/>
          <w:sz w:val="24"/>
        </w:rPr>
      </w:pPr>
      <w:r w:rsidRPr="001C70E0">
        <w:rPr>
          <w:rFonts w:ascii="Times New Roman" w:eastAsia="Calibri" w:hAnsi="Times New Roman" w:cs="Times New Roman"/>
          <w:sz w:val="24"/>
        </w:rPr>
        <w:t xml:space="preserve">C.1.1_Atilim </w:t>
      </w:r>
      <w:proofErr w:type="spellStart"/>
      <w:r w:rsidRPr="001C70E0">
        <w:rPr>
          <w:rFonts w:ascii="Times New Roman" w:eastAsia="Calibri" w:hAnsi="Times New Roman" w:cs="Times New Roman"/>
          <w:sz w:val="24"/>
        </w:rPr>
        <w:t>Universitesi</w:t>
      </w:r>
      <w:proofErr w:type="spellEnd"/>
      <w:r w:rsidRPr="001C70E0">
        <w:rPr>
          <w:rFonts w:ascii="Times New Roman" w:eastAsia="Calibri" w:hAnsi="Times New Roman" w:cs="Times New Roman"/>
          <w:sz w:val="24"/>
        </w:rPr>
        <w:t xml:space="preserve"> Bilimsel </w:t>
      </w:r>
      <w:proofErr w:type="spellStart"/>
      <w:r w:rsidRPr="001C70E0">
        <w:rPr>
          <w:rFonts w:ascii="Times New Roman" w:eastAsia="Calibri" w:hAnsi="Times New Roman" w:cs="Times New Roman"/>
          <w:sz w:val="24"/>
        </w:rPr>
        <w:t>Yayin</w:t>
      </w:r>
      <w:proofErr w:type="spellEnd"/>
      <w:r w:rsidRPr="001C70E0">
        <w:rPr>
          <w:rFonts w:ascii="Times New Roman" w:eastAsia="Calibri" w:hAnsi="Times New Roman" w:cs="Times New Roman"/>
          <w:sz w:val="24"/>
        </w:rPr>
        <w:t xml:space="preserve"> Ustun Basari </w:t>
      </w:r>
      <w:proofErr w:type="spellStart"/>
      <w:r w:rsidRPr="001C70E0">
        <w:rPr>
          <w:rFonts w:ascii="Times New Roman" w:eastAsia="Calibri" w:hAnsi="Times New Roman" w:cs="Times New Roman"/>
          <w:sz w:val="24"/>
        </w:rPr>
        <w:t>Odulleri</w:t>
      </w:r>
      <w:proofErr w:type="spellEnd"/>
      <w:r w:rsidRPr="001C70E0">
        <w:rPr>
          <w:rFonts w:ascii="Times New Roman" w:eastAsia="Calibri" w:hAnsi="Times New Roman" w:cs="Times New Roman"/>
          <w:sz w:val="24"/>
        </w:rPr>
        <w:t xml:space="preserve"> Uygulama </w:t>
      </w:r>
      <w:proofErr w:type="gramStart"/>
      <w:r w:rsidRPr="001C70E0">
        <w:rPr>
          <w:rFonts w:ascii="Times New Roman" w:eastAsia="Calibri" w:hAnsi="Times New Roman" w:cs="Times New Roman"/>
          <w:sz w:val="24"/>
        </w:rPr>
        <w:t>Yonergesi</w:t>
      </w:r>
      <w:r>
        <w:rPr>
          <w:rFonts w:ascii="Times New Roman" w:eastAsia="Calibri" w:hAnsi="Times New Roman" w:cs="Times New Roman"/>
          <w:sz w:val="24"/>
        </w:rPr>
        <w:t>.pdf</w:t>
      </w:r>
      <w:proofErr w:type="gramEnd"/>
    </w:p>
    <w:p w:rsidR="006D7FD5" w:rsidRDefault="00E767C6" w:rsidP="00E767C6">
      <w:pPr>
        <w:pStyle w:val="ListeParagraf"/>
        <w:widowControl/>
        <w:numPr>
          <w:ilvl w:val="0"/>
          <w:numId w:val="3"/>
        </w:numPr>
        <w:spacing w:after="60" w:line="259" w:lineRule="auto"/>
        <w:rPr>
          <w:rFonts w:ascii="Times New Roman" w:eastAsia="Calibri" w:hAnsi="Times New Roman" w:cs="Times New Roman"/>
          <w:sz w:val="24"/>
        </w:rPr>
      </w:pPr>
      <w:r w:rsidRPr="00E767C6">
        <w:rPr>
          <w:rFonts w:ascii="Times New Roman" w:eastAsia="Calibri" w:hAnsi="Times New Roman" w:cs="Times New Roman"/>
          <w:sz w:val="24"/>
        </w:rPr>
        <w:t xml:space="preserve">C.1.2_ARGEDA-TTO </w:t>
      </w:r>
      <w:proofErr w:type="spellStart"/>
      <w:r w:rsidRPr="00E767C6">
        <w:rPr>
          <w:rFonts w:ascii="Times New Roman" w:eastAsia="Calibri" w:hAnsi="Times New Roman" w:cs="Times New Roman"/>
          <w:sz w:val="24"/>
        </w:rPr>
        <w:t>Yapi</w:t>
      </w:r>
      <w:proofErr w:type="spellEnd"/>
      <w:r w:rsidRPr="00E767C6">
        <w:rPr>
          <w:rFonts w:ascii="Times New Roman" w:eastAsia="Calibri" w:hAnsi="Times New Roman" w:cs="Times New Roman"/>
          <w:sz w:val="24"/>
        </w:rPr>
        <w:t xml:space="preserve"> ve </w:t>
      </w:r>
      <w:proofErr w:type="spellStart"/>
      <w:r w:rsidRPr="00E767C6">
        <w:rPr>
          <w:rFonts w:ascii="Times New Roman" w:eastAsia="Calibri" w:hAnsi="Times New Roman" w:cs="Times New Roman"/>
          <w:sz w:val="24"/>
        </w:rPr>
        <w:t>Isleyis</w:t>
      </w:r>
      <w:proofErr w:type="spellEnd"/>
      <w:r w:rsidRPr="00E767C6">
        <w:rPr>
          <w:rFonts w:ascii="Times New Roman" w:eastAsia="Calibri" w:hAnsi="Times New Roman" w:cs="Times New Roman"/>
          <w:sz w:val="24"/>
        </w:rPr>
        <w:t xml:space="preserve"> </w:t>
      </w:r>
      <w:proofErr w:type="gramStart"/>
      <w:r w:rsidRPr="00E767C6">
        <w:rPr>
          <w:rFonts w:ascii="Times New Roman" w:eastAsia="Calibri" w:hAnsi="Times New Roman" w:cs="Times New Roman"/>
          <w:sz w:val="24"/>
        </w:rPr>
        <w:t>Yonergesi</w:t>
      </w:r>
      <w:r>
        <w:rPr>
          <w:rFonts w:ascii="Times New Roman" w:eastAsia="Calibri" w:hAnsi="Times New Roman" w:cs="Times New Roman"/>
          <w:sz w:val="24"/>
        </w:rPr>
        <w:t>.pdf</w:t>
      </w:r>
      <w:proofErr w:type="gramEnd"/>
    </w:p>
    <w:p w:rsidR="00D01FA7" w:rsidRPr="000E4080" w:rsidRDefault="00E91D97" w:rsidP="00E91D97">
      <w:pPr>
        <w:pStyle w:val="Balk2"/>
        <w:numPr>
          <w:ilvl w:val="0"/>
          <w:numId w:val="0"/>
        </w:numPr>
        <w:ind w:left="360"/>
      </w:pPr>
      <w:bookmarkStart w:id="8" w:name="_Toc5190564"/>
      <w:r>
        <w:t xml:space="preserve">C.2. </w:t>
      </w:r>
      <w:r w:rsidR="00D01FA7" w:rsidRPr="000E4080">
        <w:t>Araştırma Kaynakları</w:t>
      </w:r>
      <w:bookmarkEnd w:id="7"/>
      <w:bookmarkEnd w:id="8"/>
    </w:p>
    <w:p w:rsidR="00D01FA7" w:rsidRPr="00F04BBF" w:rsidRDefault="00D01FA7" w:rsidP="00D01FA7">
      <w:pPr>
        <w:spacing w:after="160" w:line="259" w:lineRule="auto"/>
        <w:jc w:val="both"/>
        <w:rPr>
          <w:rFonts w:ascii="Times New Roman" w:hAnsi="Times New Roman" w:cs="Times New Roman"/>
          <w:sz w:val="24"/>
          <w:szCs w:val="24"/>
        </w:rPr>
      </w:pPr>
      <w:r w:rsidRPr="00F04BBF">
        <w:rPr>
          <w:rFonts w:ascii="Times New Roman" w:hAnsi="Times New Roman" w:cs="Times New Roman"/>
          <w:sz w:val="24"/>
          <w:szCs w:val="24"/>
        </w:rPr>
        <w:t xml:space="preserve">Atılım Üniversitesi tarafından fonlanan çeşitli iç destek programları bulunmaktadır. Bu iç destek programları, Atılım Üniversitesi araştırmacılarının daha yüksek bütçeli dış destekli projelere yönelebilmeleri için destek sağlamakta olup programlarımız ihtiyaçlar ve araştırma </w:t>
      </w:r>
      <w:r w:rsidRPr="00F04BBF">
        <w:rPr>
          <w:rFonts w:ascii="Times New Roman" w:hAnsi="Times New Roman" w:cs="Times New Roman"/>
          <w:sz w:val="24"/>
          <w:szCs w:val="24"/>
        </w:rPr>
        <w:lastRenderedPageBreak/>
        <w:t xml:space="preserve">stratejilerimiz doğrultusunda yıllar bazında güncellenmektedir. </w:t>
      </w:r>
    </w:p>
    <w:p w:rsidR="00D01FA7" w:rsidRPr="00F04BBF" w:rsidRDefault="005F03CA" w:rsidP="00D01FA7">
      <w:pPr>
        <w:spacing w:after="160" w:line="259" w:lineRule="auto"/>
        <w:jc w:val="both"/>
        <w:rPr>
          <w:rFonts w:ascii="Times New Roman" w:hAnsi="Times New Roman" w:cs="Times New Roman"/>
          <w:sz w:val="24"/>
          <w:szCs w:val="24"/>
        </w:rPr>
      </w:pPr>
      <w:hyperlink r:id="rId18" w:history="1">
        <w:proofErr w:type="gramStart"/>
        <w:r w:rsidR="00D01FA7" w:rsidRPr="001679AF">
          <w:rPr>
            <w:rStyle w:val="Kpr"/>
            <w:rFonts w:ascii="Times New Roman" w:hAnsi="Times New Roman" w:cs="Times New Roman"/>
            <w:sz w:val="24"/>
            <w:szCs w:val="24"/>
          </w:rPr>
          <w:t>İç destek programları</w:t>
        </w:r>
      </w:hyperlink>
      <w:r w:rsidR="00D01FA7" w:rsidRPr="00F04BBF">
        <w:rPr>
          <w:rFonts w:ascii="Times New Roman" w:hAnsi="Times New Roman" w:cs="Times New Roman"/>
          <w:sz w:val="24"/>
          <w:szCs w:val="24"/>
        </w:rPr>
        <w:t xml:space="preserve">, Atılım Üniversitesi Teknoloji Transfer Ofisi ARGEDA-TTO tarafından </w:t>
      </w:r>
      <w:r w:rsidR="00C13AF4">
        <w:rPr>
          <w:rFonts w:ascii="Times New Roman" w:hAnsi="Times New Roman" w:cs="Times New Roman"/>
          <w:sz w:val="24"/>
          <w:szCs w:val="24"/>
        </w:rPr>
        <w:t>koordine edilmekte olup 2019-2020</w:t>
      </w:r>
      <w:r w:rsidR="00D01FA7" w:rsidRPr="00F04BBF">
        <w:rPr>
          <w:rFonts w:ascii="Times New Roman" w:hAnsi="Times New Roman" w:cs="Times New Roman"/>
          <w:sz w:val="24"/>
          <w:szCs w:val="24"/>
        </w:rPr>
        <w:t xml:space="preserve"> akademik yılı için geliştirilmiş LAP (Lisans Araştırma Projeleri), BAD (Başlangıç Araştırma Desteği) ve (ADP) Araştırma Destek Programlarına ilişkin ayrıntılı bilgiler aşağıda ve </w:t>
      </w:r>
      <w:hyperlink r:id="rId19" w:history="1">
        <w:r w:rsidR="00D01FA7" w:rsidRPr="00F04BBF">
          <w:rPr>
            <w:rStyle w:val="Kpr"/>
            <w:rFonts w:ascii="Times New Roman" w:hAnsi="Times New Roman" w:cs="Times New Roman"/>
            <w:sz w:val="20"/>
            <w:szCs w:val="24"/>
          </w:rPr>
          <w:t>https://www.atilim.edu.tr/tr/argeda/page/943/ic-destek-programlari</w:t>
        </w:r>
      </w:hyperlink>
      <w:r w:rsidR="00D01FA7" w:rsidRPr="00F04BBF">
        <w:rPr>
          <w:rFonts w:ascii="Times New Roman" w:hAnsi="Times New Roman" w:cs="Times New Roman"/>
          <w:sz w:val="32"/>
          <w:szCs w:val="24"/>
        </w:rPr>
        <w:t xml:space="preserve"> </w:t>
      </w:r>
      <w:r w:rsidR="00D01FA7" w:rsidRPr="00F04BBF">
        <w:rPr>
          <w:rFonts w:ascii="Times New Roman" w:hAnsi="Times New Roman" w:cs="Times New Roman"/>
          <w:sz w:val="24"/>
          <w:szCs w:val="24"/>
        </w:rPr>
        <w:t xml:space="preserve">bağlantısında sunulmuştur. </w:t>
      </w:r>
      <w:proofErr w:type="gramEnd"/>
    </w:p>
    <w:p w:rsidR="00D01FA7" w:rsidRPr="00F04BBF" w:rsidRDefault="00D01FA7" w:rsidP="00D01FA7">
      <w:pPr>
        <w:shd w:val="clear" w:color="auto" w:fill="FFFFFF"/>
        <w:spacing w:after="160" w:line="259" w:lineRule="auto"/>
        <w:jc w:val="both"/>
        <w:rPr>
          <w:rFonts w:ascii="Times New Roman" w:hAnsi="Times New Roman" w:cs="Times New Roman"/>
          <w:sz w:val="24"/>
          <w:szCs w:val="24"/>
        </w:rPr>
      </w:pPr>
      <w:r w:rsidRPr="00F04BBF">
        <w:rPr>
          <w:rFonts w:ascii="Times New Roman" w:hAnsi="Times New Roman" w:cs="Times New Roman"/>
          <w:sz w:val="24"/>
          <w:szCs w:val="24"/>
        </w:rPr>
        <w:t xml:space="preserve">Lisans Araştırma Programı (LAP), Atılım Üniversitesi’nin stratejik planına ve araştırma üniversitesi olma ileri görüşüne uygun olarak, Üniversitede disiplinler arası ve çok disiplinli araştırma düzeyini yükseltmek, yaygın bir lisans araştırma kültürü yaratmak, araştırma projelerinde takım çalışmalarını desteklemek, araştırmacı ve yaratıcı öğrenciler yetiştirmek amacıyla geliştirilmiştir. </w:t>
      </w:r>
    </w:p>
    <w:p w:rsidR="00D01FA7" w:rsidRPr="00F04BBF" w:rsidRDefault="00D01FA7" w:rsidP="00D01FA7">
      <w:pPr>
        <w:shd w:val="clear" w:color="auto" w:fill="FFFFFF"/>
        <w:spacing w:after="160" w:line="259" w:lineRule="auto"/>
        <w:jc w:val="both"/>
        <w:rPr>
          <w:rFonts w:ascii="Times New Roman" w:hAnsi="Times New Roman" w:cs="Times New Roman"/>
          <w:sz w:val="24"/>
          <w:szCs w:val="24"/>
        </w:rPr>
      </w:pPr>
      <w:r w:rsidRPr="00F04BBF">
        <w:rPr>
          <w:rFonts w:ascii="Times New Roman" w:hAnsi="Times New Roman" w:cs="Times New Roman"/>
          <w:sz w:val="24"/>
          <w:szCs w:val="24"/>
        </w:rPr>
        <w:t xml:space="preserve">LAP desteği, bir öğretim elemanı tarafından önerilen araştırma konusu çerçevesinde öğrenci takımları tarafından gerçekleştirilen projeler için sağlanan destektir. LAP projeleri öğretim elemanlarından oluşan bir proje yürütücüsü, proje araştırmacıları ve akademik veya sanayi danışmanından oluşan bir grup tarafından yönetilirler. Lisans öğrencileri </w:t>
      </w:r>
      <w:proofErr w:type="spellStart"/>
      <w:r w:rsidRPr="00F04BBF">
        <w:rPr>
          <w:rFonts w:ascii="Times New Roman" w:hAnsi="Times New Roman" w:cs="Times New Roman"/>
          <w:sz w:val="24"/>
          <w:szCs w:val="24"/>
        </w:rPr>
        <w:t>bursiyer</w:t>
      </w:r>
      <w:proofErr w:type="spellEnd"/>
      <w:r w:rsidRPr="00F04BBF">
        <w:rPr>
          <w:rFonts w:ascii="Times New Roman" w:hAnsi="Times New Roman" w:cs="Times New Roman"/>
          <w:sz w:val="24"/>
          <w:szCs w:val="24"/>
        </w:rPr>
        <w:t xml:space="preserve"> veya gönüllü olarak proje çağrılarına başvurabilir ve seçilen öğrenciler proje takımlarında yer alabilir. İstenildiği takdirde bu programa başvuran Proje Yürütücüleri sanayi firmalarının da desteğini alarak proje başvurusunda bulunabilirler. </w:t>
      </w:r>
    </w:p>
    <w:p w:rsidR="00D01FA7" w:rsidRPr="00F04BBF" w:rsidRDefault="00D144A8" w:rsidP="00D01FA7">
      <w:pPr>
        <w:shd w:val="clear" w:color="auto" w:fill="FFFFFF"/>
        <w:spacing w:after="160" w:line="259" w:lineRule="auto"/>
        <w:jc w:val="both"/>
        <w:rPr>
          <w:rFonts w:ascii="Times New Roman" w:hAnsi="Times New Roman" w:cs="Times New Roman"/>
          <w:sz w:val="24"/>
          <w:szCs w:val="24"/>
        </w:rPr>
      </w:pPr>
      <w:r>
        <w:rPr>
          <w:rFonts w:ascii="Times New Roman" w:hAnsi="Times New Roman" w:cs="Times New Roman"/>
          <w:sz w:val="24"/>
          <w:szCs w:val="24"/>
        </w:rPr>
        <w:t>2019-2020</w:t>
      </w:r>
      <w:r w:rsidR="00D01FA7" w:rsidRPr="00F04BBF">
        <w:rPr>
          <w:rFonts w:ascii="Times New Roman" w:hAnsi="Times New Roman" w:cs="Times New Roman"/>
          <w:sz w:val="24"/>
          <w:szCs w:val="24"/>
        </w:rPr>
        <w:t xml:space="preserve"> akademik yılı itibari ile LAP proje destek limitleri arttırılmış ve her bir proje için 20.000 TL’ye kadar destek verilebilmektedir.  </w:t>
      </w:r>
    </w:p>
    <w:p w:rsidR="00D01FA7" w:rsidRPr="00F04BBF" w:rsidRDefault="00D01FA7" w:rsidP="00D01FA7">
      <w:pPr>
        <w:shd w:val="clear" w:color="auto" w:fill="FFFFFF"/>
        <w:spacing w:after="160" w:line="259" w:lineRule="auto"/>
        <w:jc w:val="both"/>
        <w:rPr>
          <w:rFonts w:ascii="Times New Roman" w:hAnsi="Times New Roman" w:cs="Times New Roman"/>
          <w:sz w:val="24"/>
          <w:szCs w:val="24"/>
        </w:rPr>
      </w:pPr>
      <w:r w:rsidRPr="00F04BBF">
        <w:rPr>
          <w:rFonts w:ascii="Times New Roman" w:hAnsi="Times New Roman" w:cs="Times New Roman"/>
          <w:sz w:val="24"/>
          <w:szCs w:val="24"/>
        </w:rPr>
        <w:t xml:space="preserve">Başlangıç Araştırma Programı (BAD) Atılım Üniversitesi’ndeki araştırma ortamını geliştirmek, özellikle kariyerinin başında olan doktoralı öğretim elemanlarına bir araştırma altyapısı için, kısa süreli, küçük bütçeli araştırma ve geliştirme projelerine destek sağlamak amacı ile geliştirilmiş bir programdır. </w:t>
      </w:r>
    </w:p>
    <w:p w:rsidR="00D01FA7" w:rsidRPr="00F04BBF" w:rsidRDefault="00D01FA7" w:rsidP="00D01FA7">
      <w:pPr>
        <w:shd w:val="clear" w:color="auto" w:fill="FFFFFF"/>
        <w:spacing w:after="160" w:line="259" w:lineRule="auto"/>
        <w:jc w:val="both"/>
        <w:rPr>
          <w:rFonts w:ascii="Times New Roman" w:hAnsi="Times New Roman" w:cs="Times New Roman"/>
          <w:sz w:val="24"/>
          <w:szCs w:val="24"/>
        </w:rPr>
      </w:pPr>
      <w:r w:rsidRPr="00F04BBF">
        <w:rPr>
          <w:rFonts w:ascii="Times New Roman" w:hAnsi="Times New Roman" w:cs="Times New Roman"/>
          <w:sz w:val="24"/>
          <w:szCs w:val="24"/>
        </w:rPr>
        <w:t xml:space="preserve">Bu programa başvuracak proje yürütücüsü olan öğretim elemanı Atılım Üniversitesi’nde göreve başladığı tarihi izleyen 2 yıl içerisinde ve doktora derecesinin alındığı tarihi izleyen 5 yıl içerisinde programa başvuru yapabilmektedir. </w:t>
      </w:r>
    </w:p>
    <w:p w:rsidR="00D01FA7" w:rsidRPr="00F04BBF" w:rsidRDefault="00D01FA7" w:rsidP="00D01FA7">
      <w:pPr>
        <w:shd w:val="clear" w:color="auto" w:fill="FFFFFF"/>
        <w:spacing w:after="160" w:line="259" w:lineRule="auto"/>
        <w:jc w:val="both"/>
        <w:rPr>
          <w:rFonts w:ascii="Times New Roman" w:hAnsi="Times New Roman" w:cs="Times New Roman"/>
          <w:sz w:val="24"/>
          <w:szCs w:val="24"/>
        </w:rPr>
      </w:pPr>
      <w:r w:rsidRPr="00F04BBF">
        <w:rPr>
          <w:rFonts w:ascii="Times New Roman" w:hAnsi="Times New Roman" w:cs="Times New Roman"/>
          <w:sz w:val="24"/>
          <w:szCs w:val="24"/>
        </w:rPr>
        <w:t xml:space="preserve">BAD proje başvurularında Ulusal Bilim ve Teknoloji Politikaları Uygulama Planı kapsamında öncelikli alanlar ile ilgili disiplinler arası proje konuları tercih nedeni olmaktadır. </w:t>
      </w:r>
    </w:p>
    <w:p w:rsidR="00D01FA7" w:rsidRPr="00F04BBF" w:rsidRDefault="00DE3A54" w:rsidP="00D01FA7">
      <w:pPr>
        <w:shd w:val="clear" w:color="auto" w:fill="FFFFFF"/>
        <w:spacing w:after="160" w:line="259" w:lineRule="auto"/>
        <w:jc w:val="both"/>
        <w:rPr>
          <w:rFonts w:ascii="Times New Roman" w:hAnsi="Times New Roman" w:cs="Times New Roman"/>
          <w:sz w:val="24"/>
          <w:szCs w:val="24"/>
        </w:rPr>
      </w:pPr>
      <w:r>
        <w:rPr>
          <w:rFonts w:ascii="Times New Roman" w:hAnsi="Times New Roman" w:cs="Times New Roman"/>
          <w:sz w:val="24"/>
          <w:szCs w:val="24"/>
        </w:rPr>
        <w:t>2019-2020</w:t>
      </w:r>
      <w:r w:rsidR="00D01FA7" w:rsidRPr="00F04BBF">
        <w:rPr>
          <w:rFonts w:ascii="Times New Roman" w:hAnsi="Times New Roman" w:cs="Times New Roman"/>
          <w:sz w:val="24"/>
          <w:szCs w:val="24"/>
        </w:rPr>
        <w:t xml:space="preserve"> akademik yılı itibari ile BAD projeleri </w:t>
      </w:r>
      <w:r w:rsidR="008B27C3">
        <w:rPr>
          <w:rFonts w:ascii="Times New Roman" w:hAnsi="Times New Roman" w:cs="Times New Roman"/>
          <w:sz w:val="24"/>
          <w:szCs w:val="24"/>
        </w:rPr>
        <w:t>kapsamında her bir proje için 100</w:t>
      </w:r>
      <w:r w:rsidR="00D01FA7" w:rsidRPr="00F04BBF">
        <w:rPr>
          <w:rFonts w:ascii="Times New Roman" w:hAnsi="Times New Roman" w:cs="Times New Roman"/>
          <w:sz w:val="24"/>
          <w:szCs w:val="24"/>
        </w:rPr>
        <w:t xml:space="preserve">.000 TL’ye kadar destek verilebilmektedir.  </w:t>
      </w:r>
    </w:p>
    <w:p w:rsidR="00D01FA7" w:rsidRPr="00F04BBF" w:rsidRDefault="0063764C" w:rsidP="00D01FA7">
      <w:pPr>
        <w:shd w:val="clear" w:color="auto" w:fill="FFFFFF"/>
        <w:spacing w:after="160" w:line="259" w:lineRule="auto"/>
        <w:jc w:val="both"/>
        <w:rPr>
          <w:rFonts w:ascii="Times New Roman" w:hAnsi="Times New Roman" w:cs="Times New Roman"/>
          <w:sz w:val="24"/>
          <w:szCs w:val="24"/>
        </w:rPr>
      </w:pPr>
      <w:r>
        <w:rPr>
          <w:rFonts w:ascii="Times New Roman" w:hAnsi="Times New Roman" w:cs="Times New Roman"/>
          <w:sz w:val="24"/>
          <w:szCs w:val="24"/>
        </w:rPr>
        <w:t>İlk kez 2018 yılı içerisinde</w:t>
      </w:r>
      <w:r w:rsidR="00D01FA7" w:rsidRPr="00F04BBF">
        <w:rPr>
          <w:rFonts w:ascii="Times New Roman" w:hAnsi="Times New Roman" w:cs="Times New Roman"/>
          <w:sz w:val="24"/>
          <w:szCs w:val="24"/>
        </w:rPr>
        <w:t xml:space="preserve"> Araştırma Destek Programı (ADP) yürürlüğe konmuştur. Bu iç destek programının amacı, hem Ulusal Bilim Teknoloji ve Yenilik Stratejisi çerçevesinde hem de Üniversitemiz tarafından belirlenmiş öncelikli alanlarda araştırmacılarımızın daha büyük hacimli dış fonlardan yararlanabilmelerine olanak sağlamak için bir ön çalışma ve alt yapı desteği sağlamaktır. </w:t>
      </w:r>
    </w:p>
    <w:p w:rsidR="00D01FA7" w:rsidRPr="00F04BBF" w:rsidRDefault="00D01FA7" w:rsidP="00D01FA7">
      <w:pPr>
        <w:shd w:val="clear" w:color="auto" w:fill="FFFFFF"/>
        <w:spacing w:after="160" w:line="259" w:lineRule="auto"/>
        <w:jc w:val="both"/>
        <w:rPr>
          <w:rFonts w:ascii="Times New Roman" w:hAnsi="Times New Roman" w:cs="Times New Roman"/>
          <w:sz w:val="24"/>
          <w:szCs w:val="24"/>
        </w:rPr>
      </w:pPr>
      <w:r w:rsidRPr="00F04BBF">
        <w:rPr>
          <w:rFonts w:ascii="Times New Roman" w:hAnsi="Times New Roman" w:cs="Times New Roman"/>
          <w:sz w:val="24"/>
          <w:szCs w:val="24"/>
        </w:rPr>
        <w:t xml:space="preserve">ADP kapsamında proje yürütücüsünün TÜBİTAK, SSM, KOSGEB vb. projelerde en az bir kez proje yürütücüsü veya en az iki projede araştırmacı olarak görev </w:t>
      </w:r>
      <w:r w:rsidR="00BF094A">
        <w:rPr>
          <w:rFonts w:ascii="Times New Roman" w:hAnsi="Times New Roman" w:cs="Times New Roman"/>
          <w:sz w:val="24"/>
          <w:szCs w:val="24"/>
        </w:rPr>
        <w:t>almış olması gerekmektedir. 2019-2020</w:t>
      </w:r>
      <w:r w:rsidRPr="00F04BBF">
        <w:rPr>
          <w:rFonts w:ascii="Times New Roman" w:hAnsi="Times New Roman" w:cs="Times New Roman"/>
          <w:sz w:val="24"/>
          <w:szCs w:val="24"/>
        </w:rPr>
        <w:t xml:space="preserve"> akademik yılı itibari ile ADP projeleri </w:t>
      </w:r>
      <w:r w:rsidR="008B27C3">
        <w:rPr>
          <w:rFonts w:ascii="Times New Roman" w:hAnsi="Times New Roman" w:cs="Times New Roman"/>
          <w:sz w:val="24"/>
          <w:szCs w:val="24"/>
        </w:rPr>
        <w:t>kapsamında her bir proje için 12</w:t>
      </w:r>
      <w:r w:rsidRPr="00F04BBF">
        <w:rPr>
          <w:rFonts w:ascii="Times New Roman" w:hAnsi="Times New Roman" w:cs="Times New Roman"/>
          <w:sz w:val="24"/>
          <w:szCs w:val="24"/>
        </w:rPr>
        <w:t xml:space="preserve">0.000 TL’ye kadar destek verilebilmektedir.  </w:t>
      </w:r>
    </w:p>
    <w:p w:rsidR="00D01FA7" w:rsidRPr="00F04BBF" w:rsidRDefault="00D01FA7" w:rsidP="00D01FA7">
      <w:pPr>
        <w:spacing w:after="160" w:line="259" w:lineRule="auto"/>
        <w:jc w:val="both"/>
        <w:rPr>
          <w:rFonts w:ascii="Times New Roman" w:hAnsi="Times New Roman" w:cs="Times New Roman"/>
          <w:sz w:val="24"/>
          <w:szCs w:val="24"/>
        </w:rPr>
      </w:pPr>
      <w:r w:rsidRPr="00F04BBF">
        <w:rPr>
          <w:rFonts w:ascii="Times New Roman" w:hAnsi="Times New Roman" w:cs="Times New Roman"/>
          <w:sz w:val="24"/>
          <w:szCs w:val="24"/>
        </w:rPr>
        <w:lastRenderedPageBreak/>
        <w:t xml:space="preserve">Üniversite dışı fonların üniversitemize aktarımı da önemli bir araştırma kaynağıdır. Üniversitemiz araştırmacılarının hem TÜBİTAK proje desteklerinden hem de çeşitli kamu ya da özel sektör kuruluşları tarafından sunulan desteklerden yararlanmaları araştırma stratejilerimiz için büyük önem arz etmektedir.  </w:t>
      </w:r>
    </w:p>
    <w:p w:rsidR="00D01FA7" w:rsidRPr="00F04BBF" w:rsidRDefault="00D01FA7" w:rsidP="00D01FA7">
      <w:pPr>
        <w:spacing w:after="160" w:line="259" w:lineRule="auto"/>
        <w:jc w:val="both"/>
        <w:rPr>
          <w:rFonts w:ascii="Times New Roman" w:hAnsi="Times New Roman" w:cs="Times New Roman"/>
          <w:sz w:val="24"/>
          <w:szCs w:val="24"/>
        </w:rPr>
      </w:pPr>
      <w:r w:rsidRPr="00F04BBF">
        <w:rPr>
          <w:rFonts w:ascii="Times New Roman" w:hAnsi="Times New Roman" w:cs="Times New Roman"/>
          <w:sz w:val="24"/>
          <w:szCs w:val="24"/>
        </w:rPr>
        <w:t xml:space="preserve">Akademisyenlerin proje fikri değerlendirmeleri için akademisyene özel toplantılar düzenlenmektedir. Kariyerine yeni başlayan araştırmacıların proje fikirleri eğer yeterli derecede olgunlaşmamışsa Atılım Üniversitesi iç destek programlarına yönlendirme yapılabilmektedir (LAP ve BAD). İlerleyen aşamalarda Atılım Üniversitesi araştırmacılarına TÜBİTAK ya da diğer fon sağlayan kurumlara başvurmaları önerilmekte ve proje başvurularında destek sağlanmaktadır. Yeteri kadar olgunlaşmış proje fikirleri için araştırmacılar TÜBİTAK 3501, 1001, 1002 vb. programlarına yönlendirilmektedir. Deneyimli araştırmacılar proje yürütücülük deneyimleri olduğu için daha büyük ölçekli 1003 Programları, COST aksiyonları, 1001 ya da 1505 Programlarına başvurmaları için teşvik edilmektedir. Ulusal ve uluslararası fonların doğrudan takibi yapılarak birebir bilgilendirme ve duyurularla akademisyenlerimizin bu fonlardan faydalanmalarına yardımcı olunmaktadır. </w:t>
      </w:r>
    </w:p>
    <w:p w:rsidR="00D01FA7" w:rsidRPr="00F04BBF" w:rsidRDefault="00D01FA7" w:rsidP="00DB355F">
      <w:pPr>
        <w:spacing w:after="160" w:line="259" w:lineRule="auto"/>
        <w:jc w:val="both"/>
        <w:rPr>
          <w:rFonts w:ascii="Times New Roman" w:hAnsi="Times New Roman" w:cs="Times New Roman"/>
          <w:sz w:val="18"/>
        </w:rPr>
      </w:pPr>
      <w:r w:rsidRPr="00F04BBF">
        <w:rPr>
          <w:rFonts w:ascii="Times New Roman" w:hAnsi="Times New Roman" w:cs="Times New Roman"/>
          <w:sz w:val="24"/>
          <w:szCs w:val="24"/>
        </w:rPr>
        <w:t xml:space="preserve">Destek programlarına yönelik detaylı bilgilendirme ve teknik bilgi sağlanması amacıyla fakülte ve bölüm temelli </w:t>
      </w:r>
      <w:hyperlink r:id="rId20" w:history="1">
        <w:r w:rsidRPr="008D1E7F">
          <w:rPr>
            <w:rStyle w:val="Kpr"/>
            <w:rFonts w:ascii="Times New Roman" w:hAnsi="Times New Roman" w:cs="Times New Roman"/>
            <w:sz w:val="24"/>
            <w:szCs w:val="24"/>
          </w:rPr>
          <w:t>eğitim/ bilgilendirme toplantıları</w:t>
        </w:r>
      </w:hyperlink>
      <w:r w:rsidRPr="00F04BBF">
        <w:rPr>
          <w:rFonts w:ascii="Times New Roman" w:hAnsi="Times New Roman" w:cs="Times New Roman"/>
          <w:sz w:val="24"/>
          <w:szCs w:val="24"/>
        </w:rPr>
        <w:t xml:space="preserve"> düzenlenerek akademisyenlerimizden birebir geri bildirim ve talepler alınmaktadır.</w:t>
      </w:r>
      <w:r w:rsidR="00DB355F">
        <w:rPr>
          <w:rFonts w:ascii="Times New Roman" w:hAnsi="Times New Roman" w:cs="Times New Roman"/>
          <w:sz w:val="24"/>
          <w:szCs w:val="24"/>
        </w:rPr>
        <w:t xml:space="preserve"> </w:t>
      </w:r>
    </w:p>
    <w:p w:rsidR="00D01FA7" w:rsidRPr="00F04BBF" w:rsidRDefault="00D01FA7" w:rsidP="00D01FA7">
      <w:pPr>
        <w:spacing w:after="160" w:line="259" w:lineRule="auto"/>
        <w:jc w:val="both"/>
        <w:rPr>
          <w:rFonts w:ascii="Times New Roman" w:hAnsi="Times New Roman" w:cs="Times New Roman"/>
          <w:sz w:val="24"/>
          <w:szCs w:val="24"/>
        </w:rPr>
      </w:pPr>
      <w:r w:rsidRPr="00F04BBF">
        <w:rPr>
          <w:rFonts w:ascii="Times New Roman" w:hAnsi="Times New Roman" w:cs="Times New Roman"/>
          <w:sz w:val="24"/>
          <w:szCs w:val="24"/>
        </w:rPr>
        <w:t xml:space="preserve">Proje yazım aşamalarında da öğretim üyelerine danışmanlık desteği devam etmektedir. Özellikle son dönemde değişen değerlendirme ölçütlerine göre kontroller yapılarak tavsiyelerde bulunulmaktadır. Sanayi destekli projelerin teşvik edilmesi ve akademisyenlerin iş görme yöntemlerinin kolaylaştırılması adına firma görüşmeleri de birebir ARGEDA-TTO tarafından yapılabilmektedir. </w:t>
      </w:r>
    </w:p>
    <w:p w:rsidR="00D01FA7" w:rsidRPr="00F04BBF" w:rsidRDefault="00D01FA7" w:rsidP="00D01FA7">
      <w:pPr>
        <w:spacing w:after="160" w:line="259" w:lineRule="auto"/>
        <w:jc w:val="both"/>
        <w:rPr>
          <w:rFonts w:ascii="Times New Roman" w:hAnsi="Times New Roman" w:cs="Times New Roman"/>
          <w:sz w:val="24"/>
          <w:szCs w:val="24"/>
        </w:rPr>
      </w:pPr>
      <w:r w:rsidRPr="00F04BBF">
        <w:rPr>
          <w:rFonts w:ascii="Times New Roman" w:hAnsi="Times New Roman" w:cs="Times New Roman"/>
          <w:sz w:val="24"/>
          <w:szCs w:val="24"/>
        </w:rPr>
        <w:t xml:space="preserve">Ulusal ve uluslararası projelere yönelik yazım aşamasında akademisyenlerin yaşadığı zorluklar takip edilmektedir. Her dönemde olduğu gibi bu dönemde de proje yazım eğitimleri düzenleme çalışmaları devam etmektedir. Uluslararası programlara başvuruların ve Atılım Üniversitesi araştırmacılarının yetkinliklerinin artırılması amacıyla bilgilendirme toplantıları ve eğitimlere katılım sağlanmıştır. Kurumlardaki yetkili kişiler, firma yetkilileri ve farklı üniversitelerdeki akademisyenlerle de iletişim ağı kurulmaya çalışılmıştır. Diğer yandan uluslararası işbirlikleri ile ilgili akademisyenlerimizin de eğitim ve </w:t>
      </w:r>
      <w:r>
        <w:rPr>
          <w:rFonts w:ascii="Times New Roman" w:hAnsi="Times New Roman" w:cs="Times New Roman"/>
          <w:sz w:val="24"/>
          <w:szCs w:val="24"/>
        </w:rPr>
        <w:t>internet seminerlerine</w:t>
      </w:r>
      <w:r w:rsidRPr="00F04BBF">
        <w:rPr>
          <w:rFonts w:ascii="Times New Roman" w:hAnsi="Times New Roman" w:cs="Times New Roman"/>
          <w:sz w:val="24"/>
          <w:szCs w:val="24"/>
        </w:rPr>
        <w:t xml:space="preserve"> katılması sağlanmıştır. Ayrıca Üniversitemizdeki akademisyenlerimizin yetenekleri ve kariyerleri dikkate alınarak ilk aşamada yerel destek ve ilişki ağı edinilmesi amacıyla TÜBİTAK COST, sonrasında İkili İşbirliği Projeleri, </w:t>
      </w:r>
      <w:r w:rsidRPr="00245817">
        <w:rPr>
          <w:rFonts w:ascii="Times New Roman" w:hAnsi="Times New Roman" w:cs="Times New Roman"/>
          <w:sz w:val="24"/>
          <w:szCs w:val="24"/>
        </w:rPr>
        <w:t xml:space="preserve">Marie </w:t>
      </w:r>
      <w:proofErr w:type="spellStart"/>
      <w:r w:rsidRPr="00245817">
        <w:rPr>
          <w:rFonts w:ascii="Times New Roman" w:hAnsi="Times New Roman" w:cs="Times New Roman"/>
          <w:sz w:val="24"/>
          <w:szCs w:val="24"/>
        </w:rPr>
        <w:t>Curie</w:t>
      </w:r>
      <w:proofErr w:type="spellEnd"/>
      <w:r w:rsidRPr="00F04BBF">
        <w:rPr>
          <w:rFonts w:ascii="Times New Roman" w:hAnsi="Times New Roman" w:cs="Times New Roman"/>
          <w:sz w:val="24"/>
          <w:szCs w:val="24"/>
        </w:rPr>
        <w:t xml:space="preserve"> Aksiyonları ve H2020 proje pazarlarına yönlendirilmeleri sağlanmıştır. </w:t>
      </w:r>
    </w:p>
    <w:p w:rsidR="00D01FA7" w:rsidRPr="00F04BBF" w:rsidRDefault="00D01FA7" w:rsidP="00D01FA7">
      <w:pPr>
        <w:spacing w:after="160" w:line="259" w:lineRule="auto"/>
        <w:jc w:val="both"/>
        <w:rPr>
          <w:rFonts w:ascii="Times New Roman" w:hAnsi="Times New Roman" w:cs="Times New Roman"/>
          <w:sz w:val="24"/>
          <w:szCs w:val="24"/>
        </w:rPr>
      </w:pPr>
      <w:r w:rsidRPr="00F04BBF">
        <w:rPr>
          <w:rFonts w:ascii="Times New Roman" w:hAnsi="Times New Roman" w:cs="Times New Roman"/>
          <w:sz w:val="24"/>
          <w:szCs w:val="24"/>
        </w:rPr>
        <w:t xml:space="preserve">ARGEDA-TTO çalışmaları kapsamında Atılım Üniversitesi araştırmacılarının TÜBİTAK BİDEB desteklerinden daha fazla yararlanmasına yönelik olarak BİDEB programlarındaki güncellemelere </w:t>
      </w:r>
      <w:r w:rsidR="00005702">
        <w:rPr>
          <w:rFonts w:ascii="Times New Roman" w:hAnsi="Times New Roman" w:cs="Times New Roman"/>
          <w:sz w:val="24"/>
          <w:szCs w:val="24"/>
        </w:rPr>
        <w:t xml:space="preserve">ilişkin </w:t>
      </w:r>
      <w:hyperlink r:id="rId21" w:history="1">
        <w:r w:rsidR="00005702" w:rsidRPr="00320EA6">
          <w:rPr>
            <w:rStyle w:val="Kpr"/>
            <w:rFonts w:ascii="Times New Roman" w:hAnsi="Times New Roman" w:cs="Times New Roman"/>
            <w:sz w:val="24"/>
            <w:szCs w:val="24"/>
          </w:rPr>
          <w:t>bilgilendirme toplantıları</w:t>
        </w:r>
        <w:r w:rsidRPr="00320EA6">
          <w:rPr>
            <w:rStyle w:val="Kpr"/>
            <w:rFonts w:ascii="Times New Roman" w:hAnsi="Times New Roman" w:cs="Times New Roman"/>
            <w:sz w:val="24"/>
            <w:szCs w:val="24"/>
          </w:rPr>
          <w:t xml:space="preserve"> organize edilmiştir</w:t>
        </w:r>
      </w:hyperlink>
      <w:r w:rsidR="00320EA6">
        <w:rPr>
          <w:rFonts w:ascii="Times New Roman" w:hAnsi="Times New Roman" w:cs="Times New Roman"/>
          <w:sz w:val="24"/>
          <w:szCs w:val="24"/>
        </w:rPr>
        <w:t>.</w:t>
      </w:r>
    </w:p>
    <w:p w:rsidR="00D01FA7" w:rsidRDefault="00D01FA7" w:rsidP="00D01FA7">
      <w:pPr>
        <w:spacing w:after="160" w:line="259" w:lineRule="auto"/>
        <w:jc w:val="both"/>
        <w:rPr>
          <w:rFonts w:ascii="Times New Roman" w:hAnsi="Times New Roman" w:cs="Times New Roman"/>
          <w:sz w:val="24"/>
          <w:szCs w:val="24"/>
        </w:rPr>
      </w:pPr>
      <w:r w:rsidRPr="00F04BBF">
        <w:rPr>
          <w:rFonts w:ascii="Times New Roman" w:hAnsi="Times New Roman" w:cs="Times New Roman"/>
          <w:sz w:val="24"/>
          <w:szCs w:val="24"/>
        </w:rPr>
        <w:t xml:space="preserve">Sanayi ve kamu kuruluşları ile çeşitli temas kurma yöntemleri kullanılarak, özellikle kontratlı Ar-Ge projelerine yönelik faaliyetlerin geliştirilmesi ve artırılması hedeflenmektedir. Hem fikir aşamasındaki projelerin ve mevcut Ar-Ge çalışmalarının en uygun şekilde sanayiye aktarılması, hem de sanayinin ihtiyaçlarının doğru bir şekilde tespit edilip bu ihtiyaçların akademisyenlerimize aktarılarak projelendirilmesi hususlarında katkı sağlanmakta ve Aselsan, </w:t>
      </w:r>
      <w:proofErr w:type="spellStart"/>
      <w:r w:rsidRPr="00F04BBF">
        <w:rPr>
          <w:rFonts w:ascii="Times New Roman" w:hAnsi="Times New Roman" w:cs="Times New Roman"/>
          <w:sz w:val="24"/>
          <w:szCs w:val="24"/>
        </w:rPr>
        <w:t>Roketsan</w:t>
      </w:r>
      <w:proofErr w:type="spellEnd"/>
      <w:r w:rsidRPr="00F04BBF">
        <w:rPr>
          <w:rFonts w:ascii="Times New Roman" w:hAnsi="Times New Roman" w:cs="Times New Roman"/>
          <w:sz w:val="24"/>
          <w:szCs w:val="24"/>
        </w:rPr>
        <w:t>, FNSS vb. savunma sanayinin önde gelen firmaları ile anlaşmalar yapılmaktadır.</w:t>
      </w:r>
    </w:p>
    <w:p w:rsidR="00605D66" w:rsidRPr="00605D66" w:rsidRDefault="00605D66" w:rsidP="00605D66">
      <w:pPr>
        <w:jc w:val="both"/>
        <w:rPr>
          <w:rFonts w:ascii="Times New Roman" w:hAnsi="Times New Roman" w:cs="Times New Roman"/>
          <w:sz w:val="24"/>
          <w:szCs w:val="24"/>
        </w:rPr>
      </w:pPr>
      <w:r w:rsidRPr="00605D66">
        <w:rPr>
          <w:rFonts w:ascii="Times New Roman" w:hAnsi="Times New Roman" w:cs="Times New Roman"/>
          <w:sz w:val="24"/>
          <w:szCs w:val="24"/>
        </w:rPr>
        <w:lastRenderedPageBreak/>
        <w:t>Ayrıntıları</w:t>
      </w:r>
      <w:r w:rsidR="00CD658F">
        <w:rPr>
          <w:rFonts w:ascii="Times New Roman" w:hAnsi="Times New Roman" w:cs="Times New Roman"/>
          <w:sz w:val="24"/>
          <w:szCs w:val="24"/>
        </w:rPr>
        <w:t xml:space="preserve"> yukarıda verilmiş olan</w:t>
      </w:r>
      <w:r w:rsidRPr="00605D66">
        <w:rPr>
          <w:rFonts w:ascii="Times New Roman" w:hAnsi="Times New Roman" w:cs="Times New Roman"/>
          <w:sz w:val="24"/>
          <w:szCs w:val="24"/>
        </w:rPr>
        <w:t xml:space="preserve"> iç destek programları ile</w:t>
      </w:r>
      <w:r w:rsidRPr="00605D66">
        <w:rPr>
          <w:rFonts w:ascii="Times New Roman" w:hAnsi="Times New Roman" w:cs="Times New Roman"/>
          <w:b/>
          <w:sz w:val="24"/>
          <w:szCs w:val="24"/>
        </w:rPr>
        <w:t xml:space="preserve"> </w:t>
      </w:r>
      <w:r w:rsidRPr="00605D66">
        <w:rPr>
          <w:rFonts w:ascii="Times New Roman" w:hAnsi="Times New Roman" w:cs="Times New Roman"/>
          <w:sz w:val="24"/>
          <w:szCs w:val="24"/>
        </w:rPr>
        <w:t>araştırmacılarımızın</w:t>
      </w:r>
      <w:r w:rsidRPr="00605D66">
        <w:rPr>
          <w:rFonts w:ascii="Times New Roman" w:hAnsi="Times New Roman" w:cs="Times New Roman"/>
          <w:b/>
          <w:sz w:val="24"/>
          <w:szCs w:val="24"/>
        </w:rPr>
        <w:t xml:space="preserve"> </w:t>
      </w:r>
      <w:r w:rsidRPr="00605D66">
        <w:rPr>
          <w:rFonts w:ascii="Times New Roman" w:hAnsi="Times New Roman" w:cs="Times New Roman"/>
          <w:sz w:val="24"/>
          <w:szCs w:val="24"/>
        </w:rPr>
        <w:t xml:space="preserve">dış destekli projelere/kaynaklara yönelebilmeleri için destek sağlanmaktadır. Öğretim elemanlarımızın üniversite dışı fonlara başvuru aşamasında destek sağlayan birim ARGEDA-TTO Direktörlüğüdür. ARGEDA-TTO Direktörlüğü hem proje yazım aşamasında hem de mevcut dış destekli programların duyurulmasında önemli bir rol üstlenmiş durumdadır. Bu Direktörlük yıl içerisinde çeşitli eğitimler de düzenlemektedir. </w:t>
      </w:r>
    </w:p>
    <w:p w:rsidR="00AD4B04" w:rsidRDefault="00AD4B04" w:rsidP="00605D66">
      <w:pPr>
        <w:jc w:val="both"/>
        <w:rPr>
          <w:rFonts w:ascii="Times New Roman" w:hAnsi="Times New Roman" w:cs="Times New Roman"/>
          <w:sz w:val="24"/>
          <w:szCs w:val="24"/>
        </w:rPr>
      </w:pPr>
    </w:p>
    <w:p w:rsidR="00605D66" w:rsidRPr="00605D66" w:rsidRDefault="00605D66" w:rsidP="00605D66">
      <w:pPr>
        <w:jc w:val="both"/>
        <w:rPr>
          <w:rFonts w:ascii="Times New Roman" w:hAnsi="Times New Roman" w:cs="Times New Roman"/>
          <w:sz w:val="24"/>
          <w:szCs w:val="24"/>
        </w:rPr>
      </w:pPr>
      <w:r w:rsidRPr="00605D66">
        <w:rPr>
          <w:rFonts w:ascii="Times New Roman" w:hAnsi="Times New Roman" w:cs="Times New Roman"/>
          <w:sz w:val="24"/>
          <w:szCs w:val="24"/>
        </w:rPr>
        <w:t>ARGEDA-TTO Direktörlüğümüz tarafından 2019 yılı içerisinde birçok eğitim faaliyeti gerçekleştirilmiştir.  Bunlardan bazıları:</w:t>
      </w:r>
    </w:p>
    <w:p w:rsidR="00605D66" w:rsidRPr="00605D66" w:rsidRDefault="00AD4B04" w:rsidP="00D53C20">
      <w:pPr>
        <w:pStyle w:val="ListeParagraf"/>
        <w:widowControl/>
        <w:numPr>
          <w:ilvl w:val="0"/>
          <w:numId w:val="11"/>
        </w:numPr>
        <w:ind w:left="714" w:hanging="357"/>
        <w:contextualSpacing/>
        <w:rPr>
          <w:rFonts w:ascii="Times New Roman" w:eastAsia="Times New Roman" w:hAnsi="Times New Roman" w:cs="Times New Roman"/>
          <w:sz w:val="24"/>
          <w:szCs w:val="24"/>
          <w:lang w:eastAsia="tr-TR"/>
        </w:rPr>
      </w:pPr>
      <w:r w:rsidRPr="00605D66">
        <w:rPr>
          <w:rFonts w:ascii="Times New Roman" w:eastAsiaTheme="minorEastAsia" w:hAnsi="Times New Roman" w:cs="Times New Roman"/>
          <w:bCs/>
          <w:color w:val="000000" w:themeColor="text1"/>
          <w:kern w:val="24"/>
          <w:sz w:val="24"/>
          <w:szCs w:val="24"/>
          <w:lang w:eastAsia="tr-TR"/>
        </w:rPr>
        <w:t>H2020 programı genel bilgilendirme eğitimi – 17.01.2019</w:t>
      </w:r>
    </w:p>
    <w:p w:rsidR="00605D66" w:rsidRPr="00605D66" w:rsidRDefault="00AD4B04" w:rsidP="00D53C20">
      <w:pPr>
        <w:pStyle w:val="ListeParagraf"/>
        <w:widowControl/>
        <w:numPr>
          <w:ilvl w:val="0"/>
          <w:numId w:val="11"/>
        </w:numPr>
        <w:spacing w:after="200"/>
        <w:ind w:left="714" w:hanging="357"/>
        <w:contextualSpacing/>
        <w:rPr>
          <w:rFonts w:ascii="Times New Roman" w:eastAsia="Times New Roman" w:hAnsi="Times New Roman" w:cs="Times New Roman"/>
          <w:sz w:val="24"/>
          <w:szCs w:val="24"/>
          <w:lang w:eastAsia="tr-TR"/>
        </w:rPr>
      </w:pPr>
      <w:r w:rsidRPr="00605D66">
        <w:rPr>
          <w:rFonts w:ascii="Times New Roman" w:eastAsia="Times New Roman" w:hAnsi="Times New Roman" w:cs="Times New Roman"/>
          <w:sz w:val="24"/>
          <w:szCs w:val="24"/>
          <w:lang w:eastAsia="tr-TR"/>
        </w:rPr>
        <w:t>Yeni sınai mülkiyet kanunu kapsamında patent-faydalı model başvuruları eğitimi – 30.04.2019</w:t>
      </w:r>
    </w:p>
    <w:p w:rsidR="00605D66" w:rsidRPr="00605D66" w:rsidRDefault="00AD4B04" w:rsidP="00D53C20">
      <w:pPr>
        <w:pStyle w:val="ListeParagraf"/>
        <w:widowControl/>
        <w:numPr>
          <w:ilvl w:val="0"/>
          <w:numId w:val="11"/>
        </w:numPr>
        <w:spacing w:after="200"/>
        <w:ind w:left="714" w:hanging="357"/>
        <w:contextualSpacing/>
        <w:rPr>
          <w:rFonts w:ascii="Times New Roman" w:eastAsia="Times New Roman" w:hAnsi="Times New Roman" w:cs="Times New Roman"/>
          <w:sz w:val="24"/>
          <w:szCs w:val="24"/>
          <w:lang w:eastAsia="tr-TR"/>
        </w:rPr>
      </w:pPr>
      <w:r w:rsidRPr="00605D66">
        <w:rPr>
          <w:rFonts w:ascii="Times New Roman" w:eastAsia="Times New Roman" w:hAnsi="Times New Roman" w:cs="Times New Roman"/>
          <w:sz w:val="24"/>
          <w:szCs w:val="24"/>
          <w:lang w:eastAsia="tr-TR"/>
        </w:rPr>
        <w:t>Sınai mülkiyet kanunu kapsamında sözleşmeler ve karşılaşılan sorunlar-ihtilaflar eğitimi – 08.05.2019</w:t>
      </w:r>
    </w:p>
    <w:p w:rsidR="00605D66" w:rsidRPr="00605D66" w:rsidRDefault="00AD4B04" w:rsidP="00D53C20">
      <w:pPr>
        <w:pStyle w:val="ListeParagraf"/>
        <w:widowControl/>
        <w:numPr>
          <w:ilvl w:val="0"/>
          <w:numId w:val="11"/>
        </w:numPr>
        <w:spacing w:after="200"/>
        <w:ind w:left="714" w:hanging="357"/>
        <w:contextualSpacing/>
        <w:rPr>
          <w:rFonts w:ascii="Times New Roman" w:eastAsia="Times New Roman" w:hAnsi="Times New Roman" w:cs="Times New Roman"/>
          <w:sz w:val="24"/>
          <w:szCs w:val="24"/>
          <w:lang w:eastAsia="tr-TR"/>
        </w:rPr>
      </w:pPr>
      <w:proofErr w:type="spellStart"/>
      <w:r w:rsidRPr="00605D66">
        <w:rPr>
          <w:rFonts w:ascii="Times New Roman" w:eastAsia="Times New Roman" w:hAnsi="Times New Roman" w:cs="Times New Roman"/>
          <w:bCs/>
          <w:sz w:val="24"/>
          <w:szCs w:val="24"/>
          <w:lang w:eastAsia="tr-TR"/>
        </w:rPr>
        <w:t>Tübitak</w:t>
      </w:r>
      <w:proofErr w:type="spellEnd"/>
      <w:r w:rsidRPr="00605D66">
        <w:rPr>
          <w:rFonts w:ascii="Times New Roman" w:eastAsia="Times New Roman" w:hAnsi="Times New Roman" w:cs="Times New Roman"/>
          <w:bCs/>
          <w:sz w:val="24"/>
          <w:szCs w:val="24"/>
          <w:lang w:eastAsia="tr-TR"/>
        </w:rPr>
        <w:t xml:space="preserve"> ulusal ve uluslararası proje yazım eğitimi – 16-17.05.2019</w:t>
      </w:r>
    </w:p>
    <w:p w:rsidR="00605D66" w:rsidRPr="00605D66" w:rsidRDefault="00AD4B04" w:rsidP="00D53C20">
      <w:pPr>
        <w:pStyle w:val="ListeParagraf"/>
        <w:widowControl/>
        <w:numPr>
          <w:ilvl w:val="0"/>
          <w:numId w:val="11"/>
        </w:numPr>
        <w:spacing w:after="200"/>
        <w:ind w:left="714" w:hanging="357"/>
        <w:contextualSpacing/>
        <w:rPr>
          <w:rFonts w:ascii="Times New Roman" w:eastAsia="Times New Roman" w:hAnsi="Times New Roman" w:cs="Times New Roman"/>
          <w:sz w:val="24"/>
          <w:szCs w:val="24"/>
          <w:lang w:eastAsia="tr-TR"/>
        </w:rPr>
      </w:pPr>
      <w:r w:rsidRPr="00605D66">
        <w:rPr>
          <w:rFonts w:ascii="Times New Roman" w:eastAsia="Times New Roman" w:hAnsi="Times New Roman" w:cs="Times New Roman"/>
          <w:sz w:val="24"/>
          <w:szCs w:val="24"/>
          <w:lang w:eastAsia="tr-TR"/>
        </w:rPr>
        <w:t>Atılım üniversitesi iç destek programları bilgilendirme toplantısı – 16.09.2019</w:t>
      </w:r>
    </w:p>
    <w:p w:rsidR="00605D66" w:rsidRPr="00605D66" w:rsidRDefault="00AD4B04" w:rsidP="00D53C20">
      <w:pPr>
        <w:pStyle w:val="ListeParagraf"/>
        <w:widowControl/>
        <w:numPr>
          <w:ilvl w:val="0"/>
          <w:numId w:val="11"/>
        </w:numPr>
        <w:spacing w:after="200"/>
        <w:ind w:left="714" w:hanging="357"/>
        <w:contextualSpacing/>
        <w:rPr>
          <w:rFonts w:ascii="Times New Roman" w:eastAsia="Times New Roman" w:hAnsi="Times New Roman" w:cs="Times New Roman"/>
          <w:sz w:val="24"/>
          <w:szCs w:val="24"/>
          <w:lang w:eastAsia="tr-TR"/>
        </w:rPr>
      </w:pPr>
      <w:r w:rsidRPr="00605D66">
        <w:rPr>
          <w:rFonts w:ascii="Times New Roman" w:eastAsia="Times New Roman" w:hAnsi="Times New Roman" w:cs="Times New Roman"/>
          <w:sz w:val="24"/>
          <w:szCs w:val="24"/>
          <w:lang w:eastAsia="tr-TR"/>
        </w:rPr>
        <w:t>Ankara kalkınma ajansı teknik destek eğitimi – 03-04.10.2019</w:t>
      </w:r>
    </w:p>
    <w:p w:rsidR="00605D66" w:rsidRPr="00605D66" w:rsidRDefault="00605D66" w:rsidP="00605D66">
      <w:pPr>
        <w:pStyle w:val="ListeParagraf"/>
        <w:rPr>
          <w:rFonts w:ascii="Times New Roman" w:eastAsia="Times New Roman" w:hAnsi="Times New Roman" w:cs="Times New Roman"/>
          <w:sz w:val="24"/>
          <w:szCs w:val="24"/>
          <w:lang w:eastAsia="tr-TR"/>
        </w:rPr>
      </w:pPr>
    </w:p>
    <w:p w:rsidR="00605D66" w:rsidRDefault="00605D66" w:rsidP="00605D66">
      <w:pPr>
        <w:jc w:val="both"/>
        <w:rPr>
          <w:rFonts w:ascii="Times New Roman" w:hAnsi="Times New Roman" w:cs="Times New Roman"/>
          <w:sz w:val="24"/>
          <w:szCs w:val="24"/>
        </w:rPr>
      </w:pPr>
      <w:r w:rsidRPr="00605D66">
        <w:rPr>
          <w:rFonts w:ascii="Times New Roman" w:hAnsi="Times New Roman" w:cs="Times New Roman"/>
          <w:sz w:val="24"/>
          <w:szCs w:val="24"/>
        </w:rPr>
        <w:t xml:space="preserve">Şekil 3’de TÜBİTAK programlarından (ARDEB ve BİDEB) alınan destek sayıları sunulmuştur. </w:t>
      </w:r>
    </w:p>
    <w:p w:rsidR="00E6380D" w:rsidRPr="00605D66" w:rsidRDefault="00E6380D" w:rsidP="00605D66">
      <w:pPr>
        <w:jc w:val="both"/>
        <w:rPr>
          <w:rFonts w:ascii="Times New Roman" w:hAnsi="Times New Roman" w:cs="Times New Roman"/>
          <w:sz w:val="24"/>
          <w:szCs w:val="24"/>
        </w:rPr>
      </w:pPr>
    </w:p>
    <w:p w:rsidR="00605D66" w:rsidRDefault="00605D66" w:rsidP="00D82A86">
      <w:pPr>
        <w:jc w:val="center"/>
        <w:rPr>
          <w:sz w:val="24"/>
          <w:szCs w:val="24"/>
        </w:rPr>
      </w:pPr>
      <w:r w:rsidRPr="00B0473A">
        <w:rPr>
          <w:noProof/>
          <w:sz w:val="24"/>
          <w:szCs w:val="24"/>
          <w:lang w:eastAsia="tr-TR"/>
        </w:rPr>
        <w:drawing>
          <wp:inline distT="0" distB="0" distL="0" distR="0" wp14:anchorId="452F7403" wp14:editId="48826E4E">
            <wp:extent cx="5157470" cy="2425700"/>
            <wp:effectExtent l="0" t="0" r="5080" b="12700"/>
            <wp:docPr id="8" name="Grafik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05D66" w:rsidRPr="00605D66" w:rsidRDefault="00605D66" w:rsidP="00605D66">
      <w:pPr>
        <w:jc w:val="center"/>
        <w:rPr>
          <w:rFonts w:ascii="Times New Roman" w:hAnsi="Times New Roman" w:cs="Times New Roman"/>
          <w:sz w:val="24"/>
          <w:szCs w:val="24"/>
        </w:rPr>
      </w:pPr>
      <w:r w:rsidRPr="00605D66">
        <w:rPr>
          <w:rFonts w:ascii="Times New Roman" w:hAnsi="Times New Roman" w:cs="Times New Roman"/>
          <w:sz w:val="24"/>
          <w:szCs w:val="24"/>
        </w:rPr>
        <w:t>Şekil 3. TÜBİTAK destekli proje sayıları</w:t>
      </w:r>
    </w:p>
    <w:p w:rsidR="00B7729C" w:rsidRDefault="00B7729C" w:rsidP="00605D66">
      <w:pPr>
        <w:jc w:val="both"/>
        <w:rPr>
          <w:rFonts w:ascii="Times New Roman" w:hAnsi="Times New Roman" w:cs="Times New Roman"/>
          <w:sz w:val="24"/>
          <w:szCs w:val="24"/>
        </w:rPr>
      </w:pPr>
    </w:p>
    <w:p w:rsidR="00B7729C" w:rsidRDefault="00B7729C" w:rsidP="00605D66">
      <w:pPr>
        <w:jc w:val="both"/>
        <w:rPr>
          <w:rFonts w:ascii="Times New Roman" w:hAnsi="Times New Roman" w:cs="Times New Roman"/>
          <w:sz w:val="24"/>
          <w:szCs w:val="24"/>
        </w:rPr>
      </w:pPr>
    </w:p>
    <w:p w:rsidR="00605D66" w:rsidRDefault="00605D66" w:rsidP="00605D66">
      <w:pPr>
        <w:jc w:val="both"/>
        <w:rPr>
          <w:rFonts w:ascii="Times New Roman" w:hAnsi="Times New Roman" w:cs="Times New Roman"/>
          <w:sz w:val="24"/>
          <w:szCs w:val="24"/>
        </w:rPr>
      </w:pPr>
      <w:r w:rsidRPr="00605D66">
        <w:rPr>
          <w:rFonts w:ascii="Times New Roman" w:hAnsi="Times New Roman" w:cs="Times New Roman"/>
          <w:sz w:val="24"/>
          <w:szCs w:val="24"/>
        </w:rPr>
        <w:t xml:space="preserve">ARGEDA-TTO Direktörlüğümüz tarafından halen TÜBİTAK 1513 ve BIGG-ATILIM projeleri yürütülmektedir. </w:t>
      </w:r>
    </w:p>
    <w:p w:rsidR="009B5C8C" w:rsidRPr="00605D66" w:rsidRDefault="009B5C8C" w:rsidP="00605D66">
      <w:pPr>
        <w:jc w:val="both"/>
        <w:rPr>
          <w:rFonts w:ascii="Times New Roman" w:hAnsi="Times New Roman" w:cs="Times New Roman"/>
          <w:sz w:val="24"/>
          <w:szCs w:val="24"/>
        </w:rPr>
      </w:pPr>
    </w:p>
    <w:p w:rsidR="00B81079" w:rsidRDefault="00605D66" w:rsidP="00605D66">
      <w:pPr>
        <w:jc w:val="both"/>
        <w:rPr>
          <w:rFonts w:ascii="Times New Roman" w:hAnsi="Times New Roman" w:cs="Times New Roman"/>
          <w:sz w:val="24"/>
          <w:szCs w:val="24"/>
        </w:rPr>
      </w:pPr>
      <w:r w:rsidRPr="00BB004A">
        <w:rPr>
          <w:rFonts w:ascii="Times New Roman" w:hAnsi="Times New Roman" w:cs="Times New Roman"/>
          <w:sz w:val="24"/>
          <w:szCs w:val="24"/>
        </w:rPr>
        <w:t xml:space="preserve">Akademik yıl içerisinde lisans ve lisansüstü öğrencilerin </w:t>
      </w:r>
      <w:proofErr w:type="gramStart"/>
      <w:r w:rsidRPr="00BB004A">
        <w:rPr>
          <w:rFonts w:ascii="Times New Roman" w:hAnsi="Times New Roman" w:cs="Times New Roman"/>
          <w:sz w:val="24"/>
          <w:szCs w:val="24"/>
        </w:rPr>
        <w:t>dahil</w:t>
      </w:r>
      <w:proofErr w:type="gramEnd"/>
      <w:r w:rsidRPr="00BB004A">
        <w:rPr>
          <w:rFonts w:ascii="Times New Roman" w:hAnsi="Times New Roman" w:cs="Times New Roman"/>
          <w:sz w:val="24"/>
          <w:szCs w:val="24"/>
        </w:rPr>
        <w:t xml:space="preserve"> olduğu araştırmalara ilişkin sonuçların poster sunumları ile paylaşılması ve böylece üniversitemizdeki araştırma ikliminin sürekli kılınması amacıyla her yıl “Atılım Araştırma Günü” düzenlenmektedir. ARGEDA-TTO Direktörlüğü tarafından düzenlenen ATAG 2019 etkinliği, 15 Mayıs 2019 günü gerçekleştirilmiş olup </w:t>
      </w:r>
      <w:hyperlink r:id="rId23" w:history="1">
        <w:r w:rsidRPr="004F00B5">
          <w:rPr>
            <w:rStyle w:val="Kpr"/>
            <w:rFonts w:ascii="Times New Roman" w:hAnsi="Times New Roman" w:cs="Times New Roman"/>
            <w:sz w:val="24"/>
            <w:szCs w:val="24"/>
          </w:rPr>
          <w:t>etkinlikle ilgili detaylı bilgi</w:t>
        </w:r>
      </w:hyperlink>
      <w:r w:rsidRPr="00BB004A">
        <w:rPr>
          <w:rFonts w:ascii="Times New Roman" w:hAnsi="Times New Roman" w:cs="Times New Roman"/>
          <w:sz w:val="24"/>
          <w:szCs w:val="24"/>
        </w:rPr>
        <w:t xml:space="preserve"> </w:t>
      </w:r>
      <w:r w:rsidR="004F00B5">
        <w:rPr>
          <w:rFonts w:ascii="Times New Roman" w:hAnsi="Times New Roman" w:cs="Times New Roman"/>
          <w:sz w:val="24"/>
          <w:szCs w:val="24"/>
        </w:rPr>
        <w:t xml:space="preserve"> erişilebilir durumdadır.</w:t>
      </w:r>
    </w:p>
    <w:p w:rsidR="00B81079" w:rsidRDefault="00B81079" w:rsidP="00605D66">
      <w:pPr>
        <w:jc w:val="both"/>
        <w:rPr>
          <w:rFonts w:ascii="Times New Roman" w:hAnsi="Times New Roman" w:cs="Times New Roman"/>
          <w:sz w:val="24"/>
          <w:szCs w:val="24"/>
        </w:rPr>
      </w:pPr>
    </w:p>
    <w:p w:rsidR="00943C28" w:rsidRPr="00E74102" w:rsidRDefault="00B81079" w:rsidP="00B81079">
      <w:pPr>
        <w:jc w:val="both"/>
        <w:rPr>
          <w:rFonts w:ascii="Times New Roman" w:hAnsi="Times New Roman" w:cs="Times New Roman"/>
          <w:sz w:val="24"/>
          <w:szCs w:val="24"/>
        </w:rPr>
      </w:pPr>
      <w:r w:rsidRPr="00E74102">
        <w:rPr>
          <w:rFonts w:ascii="Times New Roman" w:hAnsi="Times New Roman" w:cs="Times New Roman"/>
          <w:sz w:val="24"/>
          <w:szCs w:val="24"/>
        </w:rPr>
        <w:t>Son olarak; Doktora programları (mezun sayıları, eğilimler) ve “post-</w:t>
      </w:r>
      <w:proofErr w:type="spellStart"/>
      <w:r w:rsidRPr="00E74102">
        <w:rPr>
          <w:rFonts w:ascii="Times New Roman" w:hAnsi="Times New Roman" w:cs="Times New Roman"/>
          <w:sz w:val="24"/>
          <w:szCs w:val="24"/>
        </w:rPr>
        <w:t>doc</w:t>
      </w:r>
      <w:proofErr w:type="spellEnd"/>
      <w:r w:rsidRPr="00E74102">
        <w:rPr>
          <w:rFonts w:ascii="Times New Roman" w:hAnsi="Times New Roman" w:cs="Times New Roman"/>
          <w:sz w:val="24"/>
          <w:szCs w:val="24"/>
        </w:rPr>
        <w:t xml:space="preserve">” </w:t>
      </w:r>
      <w:proofErr w:type="gramStart"/>
      <w:r w:rsidRPr="00E74102">
        <w:rPr>
          <w:rFonts w:ascii="Times New Roman" w:hAnsi="Times New Roman" w:cs="Times New Roman"/>
          <w:sz w:val="24"/>
          <w:szCs w:val="24"/>
        </w:rPr>
        <w:t>imkanları</w:t>
      </w:r>
      <w:proofErr w:type="gramEnd"/>
      <w:r w:rsidRPr="00E74102">
        <w:rPr>
          <w:rFonts w:ascii="Times New Roman" w:hAnsi="Times New Roman" w:cs="Times New Roman"/>
          <w:sz w:val="24"/>
          <w:szCs w:val="24"/>
        </w:rPr>
        <w:t xml:space="preserve"> ile ilgili olarak Enstitülerimiz tarafından yürütülmekte olan doktora programları aşağıda verilmiş bulunmaktadır</w:t>
      </w:r>
      <w:r w:rsidR="007F29AD" w:rsidRPr="00E74102">
        <w:rPr>
          <w:rFonts w:ascii="Times New Roman" w:hAnsi="Times New Roman" w:cs="Times New Roman"/>
          <w:sz w:val="24"/>
          <w:szCs w:val="24"/>
        </w:rPr>
        <w:t>;</w:t>
      </w:r>
      <w:r w:rsidR="00943C28" w:rsidRPr="00E74102">
        <w:rPr>
          <w:rFonts w:ascii="Times New Roman" w:hAnsi="Times New Roman" w:cs="Times New Roman"/>
          <w:sz w:val="24"/>
          <w:szCs w:val="24"/>
        </w:rPr>
        <w:t xml:space="preserve"> </w:t>
      </w:r>
    </w:p>
    <w:p w:rsidR="00B81079" w:rsidRPr="00E74102" w:rsidRDefault="00B81079" w:rsidP="00B81079">
      <w:pPr>
        <w:jc w:val="both"/>
        <w:rPr>
          <w:rFonts w:ascii="Times New Roman" w:hAnsi="Times New Roman" w:cs="Times New Roman"/>
          <w:sz w:val="24"/>
          <w:szCs w:val="24"/>
        </w:rPr>
      </w:pPr>
      <w:r w:rsidRPr="00E74102">
        <w:rPr>
          <w:rFonts w:ascii="Times New Roman" w:hAnsi="Times New Roman" w:cs="Times New Roman"/>
          <w:sz w:val="24"/>
          <w:szCs w:val="24"/>
        </w:rPr>
        <w:lastRenderedPageBreak/>
        <w:t>Fen Bilimleri Enstitüsü</w:t>
      </w:r>
      <w:r w:rsidR="00943C28" w:rsidRPr="00E74102">
        <w:rPr>
          <w:rFonts w:ascii="Times New Roman" w:hAnsi="Times New Roman" w:cs="Times New Roman"/>
          <w:sz w:val="24"/>
          <w:szCs w:val="24"/>
        </w:rPr>
        <w:t xml:space="preserve"> çerçevesinde,</w:t>
      </w:r>
      <w:r w:rsidRPr="00E74102">
        <w:rPr>
          <w:rFonts w:ascii="Times New Roman" w:hAnsi="Times New Roman" w:cs="Times New Roman"/>
          <w:b/>
          <w:sz w:val="24"/>
          <w:szCs w:val="24"/>
        </w:rPr>
        <w:t xml:space="preserve"> </w:t>
      </w:r>
      <w:r w:rsidRPr="00E74102">
        <w:rPr>
          <w:rFonts w:ascii="Times New Roman" w:hAnsi="Times New Roman" w:cs="Times New Roman"/>
          <w:sz w:val="24"/>
          <w:szCs w:val="24"/>
        </w:rPr>
        <w:t>Elektrik-Elektronik Mühendisliği Doktora Programı</w:t>
      </w:r>
      <w:r w:rsidR="00943C28" w:rsidRPr="00E74102">
        <w:rPr>
          <w:rFonts w:ascii="Times New Roman" w:hAnsi="Times New Roman" w:cs="Times New Roman"/>
          <w:sz w:val="24"/>
          <w:szCs w:val="24"/>
        </w:rPr>
        <w:t xml:space="preserve">, </w:t>
      </w:r>
      <w:r w:rsidRPr="00E74102">
        <w:rPr>
          <w:rFonts w:ascii="Times New Roman" w:hAnsi="Times New Roman" w:cs="Times New Roman"/>
          <w:sz w:val="24"/>
          <w:szCs w:val="24"/>
        </w:rPr>
        <w:t>Kimya Doktora Programı</w:t>
      </w:r>
      <w:r w:rsidR="00943C28" w:rsidRPr="00E74102">
        <w:rPr>
          <w:rFonts w:ascii="Times New Roman" w:hAnsi="Times New Roman" w:cs="Times New Roman"/>
          <w:sz w:val="24"/>
          <w:szCs w:val="24"/>
        </w:rPr>
        <w:t xml:space="preserve">, </w:t>
      </w:r>
      <w:r w:rsidRPr="00E74102">
        <w:rPr>
          <w:rFonts w:ascii="Times New Roman" w:hAnsi="Times New Roman" w:cs="Times New Roman"/>
          <w:sz w:val="24"/>
          <w:szCs w:val="24"/>
        </w:rPr>
        <w:t>Makine Mühendisliği Doktora Programı</w:t>
      </w:r>
      <w:r w:rsidR="00943C28" w:rsidRPr="00E74102">
        <w:rPr>
          <w:rFonts w:ascii="Times New Roman" w:hAnsi="Times New Roman" w:cs="Times New Roman"/>
          <w:sz w:val="24"/>
          <w:szCs w:val="24"/>
        </w:rPr>
        <w:t xml:space="preserve">, </w:t>
      </w:r>
      <w:r w:rsidRPr="00E74102">
        <w:rPr>
          <w:rFonts w:ascii="Times New Roman" w:hAnsi="Times New Roman" w:cs="Times New Roman"/>
          <w:sz w:val="24"/>
          <w:szCs w:val="24"/>
        </w:rPr>
        <w:t>Mimarlık Doktora Programı</w:t>
      </w:r>
      <w:r w:rsidR="00943C28" w:rsidRPr="00E74102">
        <w:rPr>
          <w:rFonts w:ascii="Times New Roman" w:hAnsi="Times New Roman" w:cs="Times New Roman"/>
          <w:sz w:val="24"/>
          <w:szCs w:val="24"/>
        </w:rPr>
        <w:t xml:space="preserve">, </w:t>
      </w:r>
      <w:r w:rsidRPr="00E74102">
        <w:rPr>
          <w:rFonts w:ascii="Times New Roman" w:hAnsi="Times New Roman" w:cs="Times New Roman"/>
          <w:sz w:val="24"/>
          <w:szCs w:val="24"/>
        </w:rPr>
        <w:t>Mühendislik Sistemlerinin Modellenmesi ve Tasarımı Doktora Programı</w:t>
      </w:r>
      <w:r w:rsidR="00943C28" w:rsidRPr="00E74102">
        <w:rPr>
          <w:rFonts w:ascii="Times New Roman" w:hAnsi="Times New Roman" w:cs="Times New Roman"/>
          <w:sz w:val="24"/>
          <w:szCs w:val="24"/>
        </w:rPr>
        <w:t xml:space="preserve">, </w:t>
      </w:r>
      <w:r w:rsidRPr="00E74102">
        <w:rPr>
          <w:rFonts w:ascii="Times New Roman" w:hAnsi="Times New Roman" w:cs="Times New Roman"/>
          <w:sz w:val="24"/>
          <w:szCs w:val="24"/>
        </w:rPr>
        <w:t>Yazılım Mühendisliği Doktora Programı</w:t>
      </w:r>
      <w:r w:rsidR="00943C28" w:rsidRPr="00E74102">
        <w:rPr>
          <w:rFonts w:ascii="Times New Roman" w:hAnsi="Times New Roman" w:cs="Times New Roman"/>
          <w:sz w:val="24"/>
          <w:szCs w:val="24"/>
        </w:rPr>
        <w:t xml:space="preserve"> şeklindedir.</w:t>
      </w:r>
    </w:p>
    <w:p w:rsidR="00B81079" w:rsidRPr="00E74102" w:rsidRDefault="00B81079" w:rsidP="00B81079">
      <w:pPr>
        <w:jc w:val="both"/>
        <w:rPr>
          <w:rFonts w:ascii="Times New Roman" w:hAnsi="Times New Roman" w:cs="Times New Roman"/>
          <w:sz w:val="24"/>
          <w:szCs w:val="24"/>
        </w:rPr>
      </w:pPr>
      <w:r w:rsidRPr="00E74102">
        <w:rPr>
          <w:rFonts w:ascii="Times New Roman" w:hAnsi="Times New Roman" w:cs="Times New Roman"/>
          <w:sz w:val="24"/>
          <w:szCs w:val="24"/>
        </w:rPr>
        <w:t>Sosyal Bilimler Enstitüsü</w:t>
      </w:r>
      <w:r w:rsidR="00943C28" w:rsidRPr="00E74102">
        <w:rPr>
          <w:rFonts w:ascii="Times New Roman" w:hAnsi="Times New Roman" w:cs="Times New Roman"/>
          <w:sz w:val="24"/>
          <w:szCs w:val="24"/>
        </w:rPr>
        <w:t xml:space="preserve"> çerçevesinde, </w:t>
      </w:r>
      <w:r w:rsidRPr="00E74102">
        <w:rPr>
          <w:rFonts w:ascii="Times New Roman" w:hAnsi="Times New Roman" w:cs="Times New Roman"/>
          <w:sz w:val="24"/>
          <w:szCs w:val="24"/>
        </w:rPr>
        <w:t>İngiliz Dili ve Edebiyatı Doktora Programı</w:t>
      </w:r>
      <w:r w:rsidR="00943C28" w:rsidRPr="00E74102">
        <w:rPr>
          <w:rFonts w:ascii="Times New Roman" w:hAnsi="Times New Roman" w:cs="Times New Roman"/>
          <w:sz w:val="24"/>
          <w:szCs w:val="24"/>
        </w:rPr>
        <w:t xml:space="preserve">, </w:t>
      </w:r>
      <w:r w:rsidRPr="00E74102">
        <w:rPr>
          <w:rFonts w:ascii="Times New Roman" w:hAnsi="Times New Roman" w:cs="Times New Roman"/>
          <w:sz w:val="24"/>
          <w:szCs w:val="24"/>
        </w:rPr>
        <w:t>İşletme Doktora Programı</w:t>
      </w:r>
      <w:r w:rsidR="00943C28" w:rsidRPr="00E74102">
        <w:rPr>
          <w:rFonts w:ascii="Times New Roman" w:hAnsi="Times New Roman" w:cs="Times New Roman"/>
          <w:sz w:val="24"/>
          <w:szCs w:val="24"/>
        </w:rPr>
        <w:t xml:space="preserve">, </w:t>
      </w:r>
      <w:r w:rsidRPr="00E74102">
        <w:rPr>
          <w:rFonts w:ascii="Times New Roman" w:hAnsi="Times New Roman" w:cs="Times New Roman"/>
          <w:sz w:val="24"/>
          <w:szCs w:val="24"/>
        </w:rPr>
        <w:t>Kamu Hukuku Doktora Programı</w:t>
      </w:r>
      <w:r w:rsidR="00943C28" w:rsidRPr="00E74102">
        <w:rPr>
          <w:rFonts w:ascii="Times New Roman" w:hAnsi="Times New Roman" w:cs="Times New Roman"/>
          <w:sz w:val="24"/>
          <w:szCs w:val="24"/>
        </w:rPr>
        <w:t xml:space="preserve">, </w:t>
      </w:r>
      <w:r w:rsidRPr="00E74102">
        <w:rPr>
          <w:rFonts w:ascii="Times New Roman" w:hAnsi="Times New Roman" w:cs="Times New Roman"/>
          <w:sz w:val="24"/>
          <w:szCs w:val="24"/>
        </w:rPr>
        <w:t>Siyaset Bilimi ve Kamu Yönetimi Doktora Programı</w:t>
      </w:r>
      <w:r w:rsidR="00943C28" w:rsidRPr="00E74102">
        <w:rPr>
          <w:rFonts w:ascii="Times New Roman" w:hAnsi="Times New Roman" w:cs="Times New Roman"/>
          <w:sz w:val="24"/>
          <w:szCs w:val="24"/>
        </w:rPr>
        <w:t xml:space="preserve">, </w:t>
      </w:r>
      <w:r w:rsidRPr="00E74102">
        <w:rPr>
          <w:rFonts w:ascii="Times New Roman" w:hAnsi="Times New Roman" w:cs="Times New Roman"/>
          <w:sz w:val="24"/>
          <w:szCs w:val="24"/>
        </w:rPr>
        <w:t>Özel Hukuk Doktora Programı</w:t>
      </w:r>
      <w:r w:rsidR="00D06F72" w:rsidRPr="00E74102">
        <w:rPr>
          <w:rFonts w:ascii="Times New Roman" w:hAnsi="Times New Roman" w:cs="Times New Roman"/>
          <w:sz w:val="24"/>
          <w:szCs w:val="24"/>
        </w:rPr>
        <w:t>, Politik Ekonomik Doktora Programı şeklindedir.</w:t>
      </w:r>
    </w:p>
    <w:p w:rsidR="00943C28" w:rsidRPr="00E74102" w:rsidRDefault="00943C28" w:rsidP="00B81079">
      <w:pPr>
        <w:jc w:val="both"/>
        <w:rPr>
          <w:rFonts w:ascii="Times New Roman" w:hAnsi="Times New Roman" w:cs="Times New Roman"/>
          <w:sz w:val="24"/>
          <w:szCs w:val="24"/>
        </w:rPr>
      </w:pPr>
    </w:p>
    <w:p w:rsidR="00B81079" w:rsidRPr="00E74102" w:rsidRDefault="00B81079" w:rsidP="00B81079">
      <w:pPr>
        <w:jc w:val="both"/>
        <w:rPr>
          <w:rFonts w:ascii="Times New Roman" w:hAnsi="Times New Roman" w:cs="Times New Roman"/>
          <w:sz w:val="24"/>
          <w:szCs w:val="24"/>
        </w:rPr>
      </w:pPr>
      <w:r w:rsidRPr="00E74102">
        <w:rPr>
          <w:rFonts w:ascii="Times New Roman" w:hAnsi="Times New Roman" w:cs="Times New Roman"/>
          <w:sz w:val="24"/>
          <w:szCs w:val="24"/>
        </w:rPr>
        <w:t xml:space="preserve">Araştırmacılarımız ile ortak çalışmalar yürütmek üzere üniversitemizde bulunacak misafir ve doktora sonrası araştırmacılar ile ilgili </w:t>
      </w:r>
      <w:proofErr w:type="gramStart"/>
      <w:r w:rsidRPr="00E74102">
        <w:rPr>
          <w:rFonts w:ascii="Times New Roman" w:hAnsi="Times New Roman" w:cs="Times New Roman"/>
          <w:sz w:val="24"/>
          <w:szCs w:val="24"/>
        </w:rPr>
        <w:t>prosedürler</w:t>
      </w:r>
      <w:proofErr w:type="gramEnd"/>
      <w:r w:rsidRPr="00E74102">
        <w:rPr>
          <w:rFonts w:ascii="Times New Roman" w:hAnsi="Times New Roman" w:cs="Times New Roman"/>
          <w:sz w:val="24"/>
          <w:szCs w:val="24"/>
        </w:rPr>
        <w:t xml:space="preserve"> ve destekler tanımlanmış ve araştırmanın en önemli unsurlarından olan yüksek lisans ve doktora programlarımıza kayıtlı öğrenciler için burs imkânları genişletilmiştir. Misafir ve doktora sonrası araştırmacılarla ilgili uygulama yönergesi oluşturulmuş olup bu yönerge kapsamında üniversitemiz araştırmacıları ile birlikte araştırma yapmak üzere yurt dışından gelecek olan misafir araştırmacılara kısmi destek sağlanmaktadır. İlgili </w:t>
      </w:r>
      <w:hyperlink r:id="rId24" w:history="1">
        <w:r w:rsidRPr="0072589B">
          <w:rPr>
            <w:rStyle w:val="Kpr"/>
            <w:rFonts w:ascii="Times New Roman" w:hAnsi="Times New Roman" w:cs="Times New Roman"/>
            <w:sz w:val="24"/>
            <w:szCs w:val="24"/>
          </w:rPr>
          <w:t>yönergeye</w:t>
        </w:r>
      </w:hyperlink>
      <w:r w:rsidRPr="00E74102">
        <w:rPr>
          <w:rFonts w:ascii="Times New Roman" w:hAnsi="Times New Roman" w:cs="Times New Roman"/>
          <w:sz w:val="24"/>
          <w:szCs w:val="24"/>
        </w:rPr>
        <w:t xml:space="preserve"> </w:t>
      </w:r>
      <w:r w:rsidR="00FE4779">
        <w:rPr>
          <w:rFonts w:ascii="Times New Roman" w:hAnsi="Times New Roman" w:cs="Times New Roman"/>
          <w:sz w:val="24"/>
          <w:szCs w:val="24"/>
        </w:rPr>
        <w:t xml:space="preserve">detaylı incelemek için </w:t>
      </w:r>
      <w:r w:rsidR="0072589B">
        <w:rPr>
          <w:rFonts w:ascii="Times New Roman" w:hAnsi="Times New Roman" w:cs="Times New Roman"/>
          <w:sz w:val="24"/>
          <w:szCs w:val="24"/>
        </w:rPr>
        <w:t>rahatlıkla</w:t>
      </w:r>
      <w:r w:rsidRPr="00E74102">
        <w:rPr>
          <w:rFonts w:ascii="Times New Roman" w:hAnsi="Times New Roman" w:cs="Times New Roman"/>
          <w:sz w:val="24"/>
          <w:szCs w:val="24"/>
        </w:rPr>
        <w:t xml:space="preserve"> </w:t>
      </w:r>
      <w:r w:rsidR="00F4249A">
        <w:rPr>
          <w:rFonts w:ascii="Times New Roman" w:hAnsi="Times New Roman" w:cs="Times New Roman"/>
          <w:sz w:val="24"/>
          <w:szCs w:val="24"/>
        </w:rPr>
        <w:t>erişilebilmektedir</w:t>
      </w:r>
      <w:r w:rsidRPr="00E74102">
        <w:rPr>
          <w:rFonts w:ascii="Times New Roman" w:hAnsi="Times New Roman" w:cs="Times New Roman"/>
          <w:sz w:val="24"/>
          <w:szCs w:val="24"/>
        </w:rPr>
        <w:t xml:space="preserve">. </w:t>
      </w:r>
    </w:p>
    <w:p w:rsidR="00605D66" w:rsidRPr="004F00B5" w:rsidRDefault="00605D66" w:rsidP="00605D66">
      <w:pPr>
        <w:jc w:val="both"/>
        <w:rPr>
          <w:rFonts w:ascii="Times New Roman" w:hAnsi="Times New Roman" w:cs="Times New Roman"/>
          <w:sz w:val="24"/>
          <w:szCs w:val="24"/>
        </w:rPr>
      </w:pPr>
      <w:r w:rsidRPr="00605D66">
        <w:rPr>
          <w:rFonts w:ascii="Times New Roman" w:hAnsi="Times New Roman" w:cs="Times New Roman"/>
          <w:sz w:val="24"/>
          <w:szCs w:val="24"/>
        </w:rPr>
        <w:t xml:space="preserve"> </w:t>
      </w:r>
    </w:p>
    <w:p w:rsidR="00141136" w:rsidRPr="00141136" w:rsidRDefault="00141136" w:rsidP="00141136">
      <w:pPr>
        <w:widowControl/>
        <w:spacing w:after="60" w:line="259" w:lineRule="auto"/>
        <w:jc w:val="both"/>
        <w:rPr>
          <w:rFonts w:ascii="Times New Roman" w:eastAsia="Calibri" w:hAnsi="Times New Roman" w:cs="Times New Roman"/>
          <w:sz w:val="24"/>
        </w:rPr>
      </w:pPr>
      <w:bookmarkStart w:id="9" w:name="_Toc534375316"/>
      <w:r w:rsidRPr="00141136">
        <w:rPr>
          <w:rFonts w:ascii="Times New Roman" w:eastAsia="Calibri" w:hAnsi="Times New Roman" w:cs="Times New Roman"/>
          <w:sz w:val="24"/>
        </w:rPr>
        <w:t xml:space="preserve">Bu alan dâhilindeki akademik ve idari göstergeler, çalışmalar ve çıktılara örneklem niteliğinde olmak üzere, </w:t>
      </w:r>
      <w:hyperlink r:id="rId25" w:history="1">
        <w:r w:rsidRPr="00141136">
          <w:rPr>
            <w:rStyle w:val="Kpr"/>
            <w:rFonts w:ascii="Times New Roman" w:eastAsia="Calibri" w:hAnsi="Times New Roman" w:cs="Times New Roman"/>
            <w:sz w:val="24"/>
          </w:rPr>
          <w:t xml:space="preserve">detay kanıt kütüphanesi için </w:t>
        </w:r>
        <w:proofErr w:type="spellStart"/>
        <w:r w:rsidRPr="00141136">
          <w:rPr>
            <w:rStyle w:val="Kpr"/>
            <w:rFonts w:ascii="Times New Roman" w:eastAsia="Calibri" w:hAnsi="Times New Roman" w:cs="Times New Roman"/>
            <w:sz w:val="24"/>
          </w:rPr>
          <w:t>link’e</w:t>
        </w:r>
        <w:proofErr w:type="spellEnd"/>
        <w:r w:rsidRPr="00141136">
          <w:rPr>
            <w:rStyle w:val="Kpr"/>
            <w:rFonts w:ascii="Times New Roman" w:eastAsia="Calibri" w:hAnsi="Times New Roman" w:cs="Times New Roman"/>
            <w:sz w:val="24"/>
          </w:rPr>
          <w:t xml:space="preserve"> tıklayabilirsiniz</w:t>
        </w:r>
      </w:hyperlink>
      <w:r w:rsidRPr="00141136">
        <w:rPr>
          <w:rFonts w:ascii="Times New Roman" w:eastAsia="Calibri" w:hAnsi="Times New Roman" w:cs="Times New Roman"/>
          <w:sz w:val="24"/>
        </w:rPr>
        <w:t>.</w:t>
      </w:r>
    </w:p>
    <w:p w:rsidR="00767F19" w:rsidRDefault="00767F19" w:rsidP="00767F19">
      <w:pPr>
        <w:pStyle w:val="ListeParagraf"/>
        <w:widowControl/>
        <w:numPr>
          <w:ilvl w:val="0"/>
          <w:numId w:val="4"/>
        </w:numPr>
        <w:spacing w:after="60" w:line="259" w:lineRule="auto"/>
        <w:jc w:val="both"/>
        <w:rPr>
          <w:rFonts w:ascii="Times New Roman" w:eastAsia="Calibri" w:hAnsi="Times New Roman" w:cs="Times New Roman"/>
          <w:sz w:val="24"/>
        </w:rPr>
      </w:pPr>
      <w:r w:rsidRPr="00767F19">
        <w:rPr>
          <w:rFonts w:ascii="Times New Roman" w:eastAsia="Calibri" w:hAnsi="Times New Roman" w:cs="Times New Roman"/>
          <w:sz w:val="24"/>
        </w:rPr>
        <w:t>C.2.1_AtilimUniversitesiIcDestekProgramlariDetaySunumu-2019</w:t>
      </w:r>
      <w:r>
        <w:rPr>
          <w:rFonts w:ascii="Times New Roman" w:eastAsia="Calibri" w:hAnsi="Times New Roman" w:cs="Times New Roman"/>
          <w:sz w:val="24"/>
        </w:rPr>
        <w:t>.pdf</w:t>
      </w:r>
    </w:p>
    <w:p w:rsidR="00116983" w:rsidRPr="00116983" w:rsidRDefault="00116983" w:rsidP="00116983">
      <w:pPr>
        <w:pStyle w:val="ListeParagraf"/>
        <w:widowControl/>
        <w:numPr>
          <w:ilvl w:val="0"/>
          <w:numId w:val="4"/>
        </w:numPr>
        <w:spacing w:after="60" w:line="259" w:lineRule="auto"/>
        <w:jc w:val="both"/>
        <w:rPr>
          <w:rFonts w:ascii="Times New Roman" w:eastAsia="Calibri" w:hAnsi="Times New Roman" w:cs="Times New Roman"/>
          <w:sz w:val="24"/>
        </w:rPr>
      </w:pPr>
      <w:r w:rsidRPr="00116983">
        <w:rPr>
          <w:rFonts w:ascii="Times New Roman" w:eastAsia="Calibri" w:hAnsi="Times New Roman" w:cs="Times New Roman"/>
          <w:sz w:val="24"/>
        </w:rPr>
        <w:t xml:space="preserve">C.2.1_ </w:t>
      </w:r>
      <w:proofErr w:type="spellStart"/>
      <w:r w:rsidRPr="00116983">
        <w:rPr>
          <w:rFonts w:ascii="Times New Roman" w:eastAsia="Calibri" w:hAnsi="Times New Roman" w:cs="Times New Roman"/>
          <w:sz w:val="24"/>
        </w:rPr>
        <w:t>Ic</w:t>
      </w:r>
      <w:proofErr w:type="spellEnd"/>
      <w:r w:rsidRPr="00116983">
        <w:rPr>
          <w:rFonts w:ascii="Times New Roman" w:eastAsia="Calibri" w:hAnsi="Times New Roman" w:cs="Times New Roman"/>
          <w:sz w:val="24"/>
        </w:rPr>
        <w:t xml:space="preserve"> Destekli </w:t>
      </w:r>
      <w:proofErr w:type="spellStart"/>
      <w:r w:rsidRPr="00116983">
        <w:rPr>
          <w:rFonts w:ascii="Times New Roman" w:eastAsia="Calibri" w:hAnsi="Times New Roman" w:cs="Times New Roman"/>
          <w:sz w:val="24"/>
        </w:rPr>
        <w:t>Arastirma</w:t>
      </w:r>
      <w:proofErr w:type="spellEnd"/>
      <w:r w:rsidRPr="00116983">
        <w:rPr>
          <w:rFonts w:ascii="Times New Roman" w:eastAsia="Calibri" w:hAnsi="Times New Roman" w:cs="Times New Roman"/>
          <w:sz w:val="24"/>
        </w:rPr>
        <w:t xml:space="preserve"> </w:t>
      </w:r>
      <w:proofErr w:type="spellStart"/>
      <w:r w:rsidRPr="00116983">
        <w:rPr>
          <w:rFonts w:ascii="Times New Roman" w:eastAsia="Calibri" w:hAnsi="Times New Roman" w:cs="Times New Roman"/>
          <w:sz w:val="24"/>
        </w:rPr>
        <w:t>Gelistirme</w:t>
      </w:r>
      <w:proofErr w:type="spellEnd"/>
      <w:r w:rsidRPr="00116983">
        <w:rPr>
          <w:rFonts w:ascii="Times New Roman" w:eastAsia="Calibri" w:hAnsi="Times New Roman" w:cs="Times New Roman"/>
          <w:sz w:val="24"/>
        </w:rPr>
        <w:t xml:space="preserve"> ve </w:t>
      </w:r>
      <w:proofErr w:type="spellStart"/>
      <w:r w:rsidRPr="00116983">
        <w:rPr>
          <w:rFonts w:ascii="Times New Roman" w:eastAsia="Calibri" w:hAnsi="Times New Roman" w:cs="Times New Roman"/>
          <w:sz w:val="24"/>
        </w:rPr>
        <w:t>Tasarim</w:t>
      </w:r>
      <w:proofErr w:type="spellEnd"/>
      <w:r w:rsidRPr="00116983">
        <w:rPr>
          <w:rFonts w:ascii="Times New Roman" w:eastAsia="Calibri" w:hAnsi="Times New Roman" w:cs="Times New Roman"/>
          <w:sz w:val="24"/>
        </w:rPr>
        <w:t xml:space="preserve"> Projeleri Uygulama </w:t>
      </w:r>
      <w:proofErr w:type="gramStart"/>
      <w:r w:rsidRPr="00116983">
        <w:rPr>
          <w:rFonts w:ascii="Times New Roman" w:eastAsia="Calibri" w:hAnsi="Times New Roman" w:cs="Times New Roman"/>
          <w:sz w:val="24"/>
        </w:rPr>
        <w:t>Yonergesi</w:t>
      </w:r>
      <w:r>
        <w:rPr>
          <w:rFonts w:ascii="Times New Roman" w:eastAsia="Calibri" w:hAnsi="Times New Roman" w:cs="Times New Roman"/>
          <w:sz w:val="24"/>
        </w:rPr>
        <w:t>.pdf</w:t>
      </w:r>
      <w:proofErr w:type="gramEnd"/>
      <w:r w:rsidRPr="00116983">
        <w:rPr>
          <w:rFonts w:ascii="Times New Roman" w:eastAsia="Calibri" w:hAnsi="Times New Roman" w:cs="Times New Roman"/>
          <w:sz w:val="24"/>
        </w:rPr>
        <w:t xml:space="preserve"> </w:t>
      </w:r>
    </w:p>
    <w:p w:rsidR="0067327C" w:rsidRDefault="00116983" w:rsidP="00116983">
      <w:pPr>
        <w:pStyle w:val="ListeParagraf"/>
        <w:widowControl/>
        <w:numPr>
          <w:ilvl w:val="0"/>
          <w:numId w:val="4"/>
        </w:numPr>
        <w:spacing w:after="60" w:line="259" w:lineRule="auto"/>
        <w:jc w:val="both"/>
        <w:rPr>
          <w:rFonts w:ascii="Times New Roman" w:eastAsia="Calibri" w:hAnsi="Times New Roman" w:cs="Times New Roman"/>
          <w:sz w:val="24"/>
        </w:rPr>
      </w:pPr>
      <w:r w:rsidRPr="00116983">
        <w:rPr>
          <w:rFonts w:ascii="Times New Roman" w:eastAsia="Calibri" w:hAnsi="Times New Roman" w:cs="Times New Roman"/>
          <w:sz w:val="24"/>
        </w:rPr>
        <w:t xml:space="preserve">C.2.1_Atilim </w:t>
      </w:r>
      <w:proofErr w:type="spellStart"/>
      <w:r w:rsidRPr="00116983">
        <w:rPr>
          <w:rFonts w:ascii="Times New Roman" w:eastAsia="Calibri" w:hAnsi="Times New Roman" w:cs="Times New Roman"/>
          <w:sz w:val="24"/>
        </w:rPr>
        <w:t>Universitesi</w:t>
      </w:r>
      <w:proofErr w:type="spellEnd"/>
      <w:r w:rsidRPr="00116983">
        <w:rPr>
          <w:rFonts w:ascii="Times New Roman" w:eastAsia="Calibri" w:hAnsi="Times New Roman" w:cs="Times New Roman"/>
          <w:sz w:val="24"/>
        </w:rPr>
        <w:t xml:space="preserve"> Bilimsel </w:t>
      </w:r>
      <w:proofErr w:type="spellStart"/>
      <w:r w:rsidRPr="00116983">
        <w:rPr>
          <w:rFonts w:ascii="Times New Roman" w:eastAsia="Calibri" w:hAnsi="Times New Roman" w:cs="Times New Roman"/>
          <w:sz w:val="24"/>
        </w:rPr>
        <w:t>Arastirma</w:t>
      </w:r>
      <w:proofErr w:type="spellEnd"/>
      <w:r w:rsidRPr="00116983">
        <w:rPr>
          <w:rFonts w:ascii="Times New Roman" w:eastAsia="Calibri" w:hAnsi="Times New Roman" w:cs="Times New Roman"/>
          <w:sz w:val="24"/>
        </w:rPr>
        <w:t xml:space="preserve"> Projeleri Fonu </w:t>
      </w:r>
      <w:proofErr w:type="gramStart"/>
      <w:r w:rsidRPr="00116983">
        <w:rPr>
          <w:rFonts w:ascii="Times New Roman" w:eastAsia="Calibri" w:hAnsi="Times New Roman" w:cs="Times New Roman"/>
          <w:sz w:val="24"/>
        </w:rPr>
        <w:t>Yonergesi.pdf</w:t>
      </w:r>
      <w:proofErr w:type="gramEnd"/>
    </w:p>
    <w:p w:rsidR="00D01FA7" w:rsidRPr="000E4080" w:rsidRDefault="00AA0AF1" w:rsidP="00AA0AF1">
      <w:pPr>
        <w:pStyle w:val="Balk2"/>
        <w:numPr>
          <w:ilvl w:val="0"/>
          <w:numId w:val="0"/>
        </w:numPr>
        <w:ind w:left="360"/>
      </w:pPr>
      <w:bookmarkStart w:id="10" w:name="_Toc5190565"/>
      <w:r>
        <w:t xml:space="preserve">C.3. </w:t>
      </w:r>
      <w:r w:rsidR="00D01FA7" w:rsidRPr="000E4080">
        <w:t xml:space="preserve">Araştırma </w:t>
      </w:r>
      <w:bookmarkEnd w:id="9"/>
      <w:bookmarkEnd w:id="10"/>
      <w:r w:rsidR="002301B5">
        <w:t>Yetkinliği</w:t>
      </w:r>
    </w:p>
    <w:p w:rsidR="00D01FA7" w:rsidRDefault="00D8549C" w:rsidP="00D01FA7">
      <w:pPr>
        <w:widowControl/>
        <w:spacing w:after="160" w:line="259" w:lineRule="auto"/>
        <w:jc w:val="both"/>
        <w:rPr>
          <w:rFonts w:ascii="Times New Roman" w:eastAsia="Calibri" w:hAnsi="Times New Roman" w:cs="Times New Roman"/>
          <w:sz w:val="24"/>
        </w:rPr>
      </w:pPr>
      <w:r w:rsidRPr="00D8549C">
        <w:rPr>
          <w:rFonts w:ascii="Times New Roman" w:eastAsia="Calibri" w:hAnsi="Times New Roman" w:cs="Times New Roman"/>
          <w:sz w:val="24"/>
        </w:rPr>
        <w:t>Öğretim elemanlarının araştırma yetkinliği ve araştırma yetkinliğinin geliştirilmesi</w:t>
      </w:r>
      <w:r>
        <w:rPr>
          <w:rFonts w:ascii="Times New Roman" w:eastAsia="Calibri" w:hAnsi="Times New Roman" w:cs="Times New Roman"/>
          <w:sz w:val="24"/>
        </w:rPr>
        <w:t xml:space="preserve"> ile ilgili olarak; i</w:t>
      </w:r>
      <w:r w:rsidR="00D01FA7" w:rsidRPr="00F04BBF">
        <w:rPr>
          <w:rFonts w:ascii="Times New Roman" w:eastAsia="Calibri" w:hAnsi="Times New Roman" w:cs="Times New Roman"/>
          <w:sz w:val="24"/>
        </w:rPr>
        <w:t xml:space="preserve">şe yeni alınacak/atanacak olan araştırma personelinin yetkinliği ilgili birimlerin yapmış olduğu değerlendirme ve atama-yükseltme ölçütlerine göre ölçülmektedir. İlgi düzenleme </w:t>
      </w:r>
      <w:hyperlink r:id="rId26" w:history="1">
        <w:r w:rsidR="00D01FA7" w:rsidRPr="00F04BBF">
          <w:rPr>
            <w:rFonts w:ascii="Times New Roman" w:eastAsia="Calibri" w:hAnsi="Times New Roman" w:cs="Times New Roman"/>
            <w:sz w:val="24"/>
          </w:rPr>
          <w:t>Akademik Atama Yükseltme Yönergesi</w:t>
        </w:r>
      </w:hyperlink>
      <w:r w:rsidR="00D01FA7" w:rsidRPr="00F04BBF">
        <w:rPr>
          <w:rFonts w:ascii="Times New Roman" w:eastAsia="Calibri" w:hAnsi="Times New Roman" w:cs="Times New Roman"/>
          <w:sz w:val="24"/>
        </w:rPr>
        <w:t xml:space="preserve"> olarak </w:t>
      </w:r>
      <w:hyperlink r:id="rId27" w:history="1">
        <w:r w:rsidR="00D7184D" w:rsidRPr="00FC032D">
          <w:rPr>
            <w:rStyle w:val="Kpr"/>
          </w:rPr>
          <w:t>https://www.atilim.edu.tr/tr/home/page/113/mevzuat</w:t>
        </w:r>
      </w:hyperlink>
      <w:r w:rsidR="00D7184D">
        <w:t xml:space="preserve"> </w:t>
      </w:r>
      <w:r w:rsidR="00D01FA7" w:rsidRPr="00F04BBF">
        <w:rPr>
          <w:rFonts w:ascii="Times New Roman" w:eastAsia="Calibri" w:hAnsi="Times New Roman" w:cs="Times New Roman"/>
          <w:sz w:val="24"/>
        </w:rPr>
        <w:t xml:space="preserve"> internet sitesi </w:t>
      </w:r>
      <w:r w:rsidR="00D01FA7" w:rsidRPr="00F04BBF">
        <w:rPr>
          <w:rFonts w:ascii="Times New Roman" w:eastAsia="Calibri" w:hAnsi="Times New Roman" w:cs="Times New Roman"/>
          <w:sz w:val="20"/>
        </w:rPr>
        <w:t xml:space="preserve">MEVZUAT </w:t>
      </w:r>
      <w:r w:rsidR="00D01FA7" w:rsidRPr="00F04BBF">
        <w:rPr>
          <w:rFonts w:ascii="Times New Roman" w:eastAsia="Calibri" w:hAnsi="Times New Roman" w:cs="Times New Roman"/>
          <w:sz w:val="24"/>
        </w:rPr>
        <w:t>bölümünde incelenebilir.</w:t>
      </w:r>
    </w:p>
    <w:p w:rsidR="00ED455E" w:rsidRPr="00ED455E" w:rsidRDefault="00ED455E" w:rsidP="00ED455E">
      <w:pPr>
        <w:jc w:val="both"/>
        <w:rPr>
          <w:rFonts w:ascii="Times New Roman" w:hAnsi="Times New Roman" w:cs="Times New Roman"/>
          <w:sz w:val="24"/>
          <w:szCs w:val="24"/>
        </w:rPr>
      </w:pPr>
      <w:r w:rsidRPr="00ED455E">
        <w:rPr>
          <w:rFonts w:ascii="Times New Roman" w:hAnsi="Times New Roman" w:cs="Times New Roman"/>
          <w:sz w:val="24"/>
          <w:szCs w:val="24"/>
        </w:rPr>
        <w:t>Mevcut öğretim elemanlarının araştırma yetkinliğinin artırılmasına yönelik çeşitli eğitim faaliyetleri gerçekleştirilmektedir. ARGEDA-T</w:t>
      </w:r>
      <w:r w:rsidR="001C1B98">
        <w:rPr>
          <w:rFonts w:ascii="Times New Roman" w:hAnsi="Times New Roman" w:cs="Times New Roman"/>
          <w:sz w:val="24"/>
          <w:szCs w:val="24"/>
        </w:rPr>
        <w:t>TO Direktörlüğü tarafından C.2 başlığı altında</w:t>
      </w:r>
      <w:r w:rsidRPr="00ED455E">
        <w:rPr>
          <w:rFonts w:ascii="Times New Roman" w:hAnsi="Times New Roman" w:cs="Times New Roman"/>
          <w:sz w:val="24"/>
          <w:szCs w:val="24"/>
        </w:rPr>
        <w:t xml:space="preserve"> belirtilmiş olan eğitimlerin dışında Kütüphane</w:t>
      </w:r>
      <w:r w:rsidR="00BB3BE5">
        <w:rPr>
          <w:rFonts w:ascii="Times New Roman" w:hAnsi="Times New Roman" w:cs="Times New Roman"/>
          <w:sz w:val="24"/>
          <w:szCs w:val="24"/>
        </w:rPr>
        <w:t xml:space="preserve"> ve Dokümantasyon</w:t>
      </w:r>
      <w:r w:rsidRPr="00ED455E">
        <w:rPr>
          <w:rFonts w:ascii="Times New Roman" w:hAnsi="Times New Roman" w:cs="Times New Roman"/>
          <w:sz w:val="24"/>
          <w:szCs w:val="24"/>
        </w:rPr>
        <w:t xml:space="preserve"> Direktörlüğümüz tarafından da yıl içerisinde makale yazım, veri tabanları kullanımı gibi araştırmayla doğrudan ilgili eğitimler gerçekleştirilmiştir. Bunlardan bazıları:</w:t>
      </w:r>
    </w:p>
    <w:p w:rsidR="00ED455E" w:rsidRPr="00ED455E" w:rsidRDefault="00ED455E" w:rsidP="00ED455E">
      <w:pPr>
        <w:pStyle w:val="ListeParagraf"/>
        <w:widowControl/>
        <w:numPr>
          <w:ilvl w:val="0"/>
          <w:numId w:val="12"/>
        </w:numPr>
        <w:spacing w:before="100" w:beforeAutospacing="1" w:after="100" w:afterAutospacing="1"/>
        <w:ind w:left="714" w:hanging="357"/>
        <w:contextualSpacing/>
        <w:rPr>
          <w:rStyle w:val="Gl"/>
          <w:rFonts w:ascii="Times New Roman" w:eastAsia="Times New Roman" w:hAnsi="Times New Roman" w:cs="Times New Roman"/>
        </w:rPr>
      </w:pPr>
      <w:r w:rsidRPr="00ED455E">
        <w:rPr>
          <w:rStyle w:val="Gl"/>
          <w:rFonts w:ascii="Times New Roman" w:eastAsia="Times New Roman" w:hAnsi="Times New Roman" w:cs="Times New Roman"/>
        </w:rPr>
        <w:t xml:space="preserve">18 Nisan 2019 </w:t>
      </w:r>
      <w:proofErr w:type="spellStart"/>
      <w:r w:rsidRPr="00ED455E">
        <w:rPr>
          <w:rFonts w:ascii="Times New Roman" w:hAnsi="Times New Roman" w:cs="Times New Roman"/>
          <w:bCs/>
          <w:i/>
        </w:rPr>
        <w:t>ClinicalKey</w:t>
      </w:r>
      <w:proofErr w:type="spellEnd"/>
      <w:r w:rsidRPr="00ED455E">
        <w:rPr>
          <w:rFonts w:ascii="Times New Roman" w:hAnsi="Times New Roman" w:cs="Times New Roman"/>
          <w:bCs/>
          <w:i/>
        </w:rPr>
        <w:t xml:space="preserve">, </w:t>
      </w:r>
      <w:proofErr w:type="spellStart"/>
      <w:r w:rsidRPr="00ED455E">
        <w:rPr>
          <w:rFonts w:ascii="Times New Roman" w:hAnsi="Times New Roman" w:cs="Times New Roman"/>
          <w:bCs/>
          <w:i/>
        </w:rPr>
        <w:t>UpToDate</w:t>
      </w:r>
      <w:proofErr w:type="spellEnd"/>
      <w:r w:rsidRPr="00ED455E">
        <w:rPr>
          <w:rFonts w:ascii="Times New Roman" w:hAnsi="Times New Roman" w:cs="Times New Roman"/>
          <w:bCs/>
          <w:i/>
        </w:rPr>
        <w:t xml:space="preserve">, </w:t>
      </w:r>
      <w:proofErr w:type="spellStart"/>
      <w:r w:rsidRPr="00ED455E">
        <w:rPr>
          <w:rFonts w:ascii="Times New Roman" w:hAnsi="Times New Roman" w:cs="Times New Roman"/>
          <w:bCs/>
          <w:i/>
        </w:rPr>
        <w:t>PressReader</w:t>
      </w:r>
      <w:proofErr w:type="spellEnd"/>
      <w:r w:rsidRPr="00ED455E">
        <w:rPr>
          <w:rFonts w:ascii="Times New Roman" w:hAnsi="Times New Roman" w:cs="Times New Roman"/>
          <w:bCs/>
          <w:i/>
        </w:rPr>
        <w:t xml:space="preserve"> Eğitim Toplantısı ve Görüş/Öneriler</w:t>
      </w:r>
    </w:p>
    <w:p w:rsidR="00ED455E" w:rsidRPr="00ED455E" w:rsidRDefault="00ED455E" w:rsidP="00ED455E">
      <w:pPr>
        <w:widowControl/>
        <w:numPr>
          <w:ilvl w:val="0"/>
          <w:numId w:val="12"/>
        </w:numPr>
        <w:spacing w:before="100" w:beforeAutospacing="1" w:after="100" w:afterAutospacing="1"/>
        <w:ind w:left="714" w:hanging="357"/>
        <w:contextualSpacing/>
        <w:rPr>
          <w:rStyle w:val="Vurgu"/>
          <w:rFonts w:ascii="Times New Roman" w:eastAsia="Times New Roman" w:hAnsi="Times New Roman" w:cs="Times New Roman"/>
          <w:i w:val="0"/>
          <w:iCs w:val="0"/>
        </w:rPr>
      </w:pPr>
      <w:r w:rsidRPr="00ED455E">
        <w:rPr>
          <w:rStyle w:val="Gl"/>
          <w:rFonts w:ascii="Times New Roman" w:eastAsia="Times New Roman" w:hAnsi="Times New Roman" w:cs="Times New Roman"/>
        </w:rPr>
        <w:t>6 Mayıs 2019</w:t>
      </w:r>
      <w:r w:rsidRPr="00ED455E">
        <w:rPr>
          <w:rFonts w:ascii="Times New Roman" w:eastAsia="Times New Roman" w:hAnsi="Times New Roman" w:cs="Times New Roman"/>
        </w:rPr>
        <w:t> </w:t>
      </w:r>
      <w:r w:rsidRPr="00ED455E">
        <w:rPr>
          <w:rStyle w:val="Vurgu"/>
          <w:rFonts w:ascii="Times New Roman" w:eastAsia="Times New Roman" w:hAnsi="Times New Roman" w:cs="Times New Roman"/>
        </w:rPr>
        <w:t xml:space="preserve">Bilimsel Yayın Sürecinde </w:t>
      </w:r>
      <w:proofErr w:type="spellStart"/>
      <w:r w:rsidRPr="00ED455E">
        <w:rPr>
          <w:rStyle w:val="Vurgu"/>
          <w:rFonts w:ascii="Times New Roman" w:eastAsia="Times New Roman" w:hAnsi="Times New Roman" w:cs="Times New Roman"/>
        </w:rPr>
        <w:t>ProQuest</w:t>
      </w:r>
      <w:proofErr w:type="spellEnd"/>
      <w:r w:rsidRPr="00ED455E">
        <w:rPr>
          <w:rStyle w:val="Vurgu"/>
          <w:rFonts w:ascii="Times New Roman" w:eastAsia="Times New Roman" w:hAnsi="Times New Roman" w:cs="Times New Roman"/>
        </w:rPr>
        <w:t xml:space="preserve"> Kaynaklarından Yararlanma Yöntemleri Eğitimi</w:t>
      </w:r>
    </w:p>
    <w:p w:rsidR="00ED455E" w:rsidRPr="00ED455E" w:rsidRDefault="00ED455E" w:rsidP="00ED455E">
      <w:pPr>
        <w:widowControl/>
        <w:numPr>
          <w:ilvl w:val="0"/>
          <w:numId w:val="13"/>
        </w:numPr>
        <w:spacing w:before="100" w:beforeAutospacing="1" w:after="100" w:afterAutospacing="1"/>
        <w:ind w:left="714" w:hanging="357"/>
        <w:contextualSpacing/>
        <w:rPr>
          <w:rFonts w:ascii="Times New Roman" w:eastAsia="Times New Roman" w:hAnsi="Times New Roman" w:cs="Times New Roman"/>
        </w:rPr>
      </w:pPr>
      <w:r w:rsidRPr="00ED455E">
        <w:rPr>
          <w:rStyle w:val="Gl"/>
          <w:rFonts w:ascii="Times New Roman" w:eastAsia="Times New Roman" w:hAnsi="Times New Roman" w:cs="Times New Roman"/>
        </w:rPr>
        <w:t>18 Eylül 2019</w:t>
      </w:r>
      <w:r w:rsidRPr="00ED455E">
        <w:rPr>
          <w:rFonts w:ascii="Times New Roman" w:eastAsia="Times New Roman" w:hAnsi="Times New Roman" w:cs="Times New Roman"/>
        </w:rPr>
        <w:t xml:space="preserve"> De </w:t>
      </w:r>
      <w:proofErr w:type="spellStart"/>
      <w:r w:rsidRPr="00ED455E">
        <w:rPr>
          <w:rFonts w:ascii="Times New Roman" w:eastAsia="Times New Roman" w:hAnsi="Times New Roman" w:cs="Times New Roman"/>
        </w:rPr>
        <w:t>Gruyter’de</w:t>
      </w:r>
      <w:proofErr w:type="spellEnd"/>
      <w:r w:rsidRPr="00ED455E">
        <w:rPr>
          <w:rFonts w:ascii="Times New Roman" w:eastAsia="Times New Roman" w:hAnsi="Times New Roman" w:cs="Times New Roman"/>
        </w:rPr>
        <w:t xml:space="preserve"> Nasıl Makale Yayınlarım? Gönderimden Paylaşıma Kadar: Bir Araştırma Makalesinin Yaşam Döngüsü” başlıklı </w:t>
      </w:r>
      <w:proofErr w:type="spellStart"/>
      <w:r w:rsidRPr="00ED455E">
        <w:rPr>
          <w:rFonts w:ascii="Times New Roman" w:eastAsia="Times New Roman" w:hAnsi="Times New Roman" w:cs="Times New Roman"/>
        </w:rPr>
        <w:t>çalıştay</w:t>
      </w:r>
      <w:proofErr w:type="spellEnd"/>
    </w:p>
    <w:p w:rsidR="00ED455E" w:rsidRPr="00ED455E" w:rsidRDefault="00ED455E" w:rsidP="00ED455E">
      <w:pPr>
        <w:widowControl/>
        <w:numPr>
          <w:ilvl w:val="0"/>
          <w:numId w:val="14"/>
        </w:numPr>
        <w:spacing w:before="100" w:beforeAutospacing="1" w:after="100" w:afterAutospacing="1"/>
        <w:ind w:left="714" w:hanging="357"/>
        <w:contextualSpacing/>
        <w:rPr>
          <w:rFonts w:ascii="Times New Roman" w:eastAsia="Times New Roman" w:hAnsi="Times New Roman" w:cs="Times New Roman"/>
        </w:rPr>
      </w:pPr>
      <w:r w:rsidRPr="00ED455E">
        <w:rPr>
          <w:rStyle w:val="Gl"/>
          <w:rFonts w:ascii="Times New Roman" w:eastAsia="Times New Roman" w:hAnsi="Times New Roman" w:cs="Times New Roman"/>
        </w:rPr>
        <w:t>2 Ekim 2019</w:t>
      </w:r>
      <w:r w:rsidRPr="00ED455E">
        <w:rPr>
          <w:rFonts w:ascii="Times New Roman" w:eastAsia="Times New Roman" w:hAnsi="Times New Roman" w:cs="Times New Roman"/>
        </w:rPr>
        <w:t> </w:t>
      </w:r>
      <w:proofErr w:type="spellStart"/>
      <w:r w:rsidRPr="00ED455E">
        <w:rPr>
          <w:rStyle w:val="Vurgu"/>
          <w:rFonts w:ascii="Times New Roman" w:eastAsia="Times New Roman" w:hAnsi="Times New Roman" w:cs="Times New Roman"/>
        </w:rPr>
        <w:t>Quality</w:t>
      </w:r>
      <w:proofErr w:type="spellEnd"/>
      <w:r w:rsidRPr="00ED455E">
        <w:rPr>
          <w:rStyle w:val="Vurgu"/>
          <w:rFonts w:ascii="Times New Roman" w:eastAsia="Times New Roman" w:hAnsi="Times New Roman" w:cs="Times New Roman"/>
        </w:rPr>
        <w:t xml:space="preserve"> in </w:t>
      </w:r>
      <w:proofErr w:type="spellStart"/>
      <w:r w:rsidRPr="00ED455E">
        <w:rPr>
          <w:rStyle w:val="Vurgu"/>
          <w:rFonts w:ascii="Times New Roman" w:eastAsia="Times New Roman" w:hAnsi="Times New Roman" w:cs="Times New Roman"/>
        </w:rPr>
        <w:t>Research</w:t>
      </w:r>
      <w:proofErr w:type="spellEnd"/>
      <w:r w:rsidRPr="00ED455E">
        <w:rPr>
          <w:rStyle w:val="Vurgu"/>
          <w:rFonts w:ascii="Times New Roman" w:eastAsia="Times New Roman" w:hAnsi="Times New Roman" w:cs="Times New Roman"/>
        </w:rPr>
        <w:t xml:space="preserve"> </w:t>
      </w:r>
      <w:proofErr w:type="spellStart"/>
      <w:r w:rsidRPr="00ED455E">
        <w:rPr>
          <w:rStyle w:val="Vurgu"/>
          <w:rFonts w:ascii="Times New Roman" w:eastAsia="Times New Roman" w:hAnsi="Times New Roman" w:cs="Times New Roman"/>
        </w:rPr>
        <w:t>Çalıştayı</w:t>
      </w:r>
      <w:proofErr w:type="spellEnd"/>
    </w:p>
    <w:p w:rsidR="00ED455E" w:rsidRPr="00ED455E" w:rsidRDefault="00ED455E" w:rsidP="00ED455E">
      <w:pPr>
        <w:widowControl/>
        <w:numPr>
          <w:ilvl w:val="0"/>
          <w:numId w:val="15"/>
        </w:numPr>
        <w:spacing w:before="100" w:beforeAutospacing="1" w:after="100" w:afterAutospacing="1"/>
        <w:ind w:left="714" w:hanging="357"/>
        <w:contextualSpacing/>
        <w:rPr>
          <w:rStyle w:val="Vurgu"/>
          <w:rFonts w:ascii="Times New Roman" w:eastAsia="Times New Roman" w:hAnsi="Times New Roman" w:cs="Times New Roman"/>
          <w:i w:val="0"/>
          <w:iCs w:val="0"/>
        </w:rPr>
      </w:pPr>
      <w:r w:rsidRPr="00ED455E">
        <w:rPr>
          <w:rStyle w:val="Gl"/>
          <w:rFonts w:ascii="Times New Roman" w:eastAsia="Times New Roman" w:hAnsi="Times New Roman" w:cs="Times New Roman"/>
        </w:rPr>
        <w:t>18 Ekim 2019</w:t>
      </w:r>
      <w:r w:rsidRPr="00ED455E">
        <w:rPr>
          <w:rFonts w:ascii="Times New Roman" w:eastAsia="Times New Roman" w:hAnsi="Times New Roman" w:cs="Times New Roman"/>
        </w:rPr>
        <w:t> </w:t>
      </w:r>
      <w:r w:rsidRPr="00ED455E">
        <w:rPr>
          <w:rStyle w:val="Vurgu"/>
          <w:rFonts w:ascii="Times New Roman" w:eastAsia="Times New Roman" w:hAnsi="Times New Roman" w:cs="Times New Roman"/>
        </w:rPr>
        <w:t xml:space="preserve">Bilimsel Yayın Sürecinde </w:t>
      </w:r>
      <w:proofErr w:type="spellStart"/>
      <w:r w:rsidRPr="00ED455E">
        <w:rPr>
          <w:rStyle w:val="Vurgu"/>
          <w:rFonts w:ascii="Times New Roman" w:eastAsia="Times New Roman" w:hAnsi="Times New Roman" w:cs="Times New Roman"/>
        </w:rPr>
        <w:t>ProQuest</w:t>
      </w:r>
      <w:proofErr w:type="spellEnd"/>
      <w:r w:rsidRPr="00ED455E">
        <w:rPr>
          <w:rStyle w:val="Vurgu"/>
          <w:rFonts w:ascii="Times New Roman" w:eastAsia="Times New Roman" w:hAnsi="Times New Roman" w:cs="Times New Roman"/>
        </w:rPr>
        <w:t xml:space="preserve"> Kaynaklarından Yararlanma Yöntemleri Kullanıcı Eğitimi </w:t>
      </w:r>
    </w:p>
    <w:p w:rsidR="00ED455E" w:rsidRPr="00ED455E" w:rsidRDefault="00ED455E" w:rsidP="00ED455E">
      <w:pPr>
        <w:widowControl/>
        <w:numPr>
          <w:ilvl w:val="0"/>
          <w:numId w:val="15"/>
        </w:numPr>
        <w:spacing w:before="100" w:beforeAutospacing="1" w:after="100" w:afterAutospacing="1"/>
        <w:ind w:left="714" w:hanging="357"/>
        <w:contextualSpacing/>
        <w:rPr>
          <w:rStyle w:val="Gl"/>
          <w:rFonts w:ascii="Times New Roman" w:eastAsia="Times New Roman" w:hAnsi="Times New Roman" w:cs="Times New Roman"/>
          <w:b w:val="0"/>
          <w:bCs w:val="0"/>
        </w:rPr>
      </w:pPr>
      <w:r w:rsidRPr="00ED455E">
        <w:rPr>
          <w:rStyle w:val="Gl"/>
          <w:rFonts w:ascii="Times New Roman" w:eastAsia="Times New Roman" w:hAnsi="Times New Roman" w:cs="Times New Roman"/>
        </w:rPr>
        <w:t xml:space="preserve">6 Kasım 2019 </w:t>
      </w:r>
      <w:r w:rsidRPr="00ED455E">
        <w:rPr>
          <w:rStyle w:val="Gl"/>
          <w:rFonts w:ascii="Times New Roman" w:eastAsia="Times New Roman" w:hAnsi="Times New Roman" w:cs="Times New Roman"/>
          <w:i/>
        </w:rPr>
        <w:t>Açık Bilim ve Açık Erişim Bilgilendirme Toplantısı</w:t>
      </w:r>
    </w:p>
    <w:p w:rsidR="00ED455E" w:rsidRPr="00ED455E" w:rsidRDefault="00ED455E" w:rsidP="00ED455E">
      <w:pPr>
        <w:widowControl/>
        <w:numPr>
          <w:ilvl w:val="0"/>
          <w:numId w:val="15"/>
        </w:numPr>
        <w:spacing w:before="100" w:beforeAutospacing="1" w:after="100" w:afterAutospacing="1"/>
        <w:ind w:left="714" w:hanging="357"/>
        <w:contextualSpacing/>
        <w:rPr>
          <w:rFonts w:ascii="Times New Roman" w:eastAsia="Times New Roman" w:hAnsi="Times New Roman" w:cs="Times New Roman"/>
        </w:rPr>
      </w:pPr>
      <w:r w:rsidRPr="00ED455E">
        <w:rPr>
          <w:rStyle w:val="Gl"/>
          <w:rFonts w:ascii="Times New Roman" w:eastAsia="Times New Roman" w:hAnsi="Times New Roman" w:cs="Times New Roman"/>
        </w:rPr>
        <w:t xml:space="preserve">14 Kasım 2019 </w:t>
      </w:r>
      <w:r w:rsidRPr="00ED455E">
        <w:rPr>
          <w:rStyle w:val="Gl"/>
          <w:rFonts w:ascii="Times New Roman" w:eastAsia="Times New Roman" w:hAnsi="Times New Roman" w:cs="Times New Roman"/>
          <w:i/>
        </w:rPr>
        <w:t>Açık Bilim ve Açık Erişim Bilgilendirme Toplantısı</w:t>
      </w:r>
    </w:p>
    <w:p w:rsidR="00ED455E" w:rsidRPr="00ED455E" w:rsidRDefault="00ED455E" w:rsidP="00ED455E">
      <w:pPr>
        <w:widowControl/>
        <w:numPr>
          <w:ilvl w:val="0"/>
          <w:numId w:val="16"/>
        </w:numPr>
        <w:spacing w:before="100" w:beforeAutospacing="1" w:after="100" w:afterAutospacing="1"/>
        <w:ind w:left="714" w:hanging="357"/>
        <w:contextualSpacing/>
        <w:rPr>
          <w:rFonts w:ascii="Times New Roman" w:eastAsia="Times New Roman" w:hAnsi="Times New Roman" w:cs="Times New Roman"/>
        </w:rPr>
      </w:pPr>
      <w:r w:rsidRPr="00ED455E">
        <w:rPr>
          <w:rStyle w:val="Gl"/>
          <w:rFonts w:ascii="Times New Roman" w:eastAsia="Times New Roman" w:hAnsi="Times New Roman" w:cs="Times New Roman"/>
        </w:rPr>
        <w:t>3 Aralık 2019</w:t>
      </w:r>
      <w:r w:rsidRPr="00ED455E">
        <w:rPr>
          <w:rFonts w:ascii="Times New Roman" w:eastAsia="Times New Roman" w:hAnsi="Times New Roman" w:cs="Times New Roman"/>
        </w:rPr>
        <w:t> </w:t>
      </w:r>
      <w:proofErr w:type="spellStart"/>
      <w:r w:rsidRPr="00ED455E">
        <w:rPr>
          <w:rStyle w:val="Vurgu"/>
          <w:rFonts w:ascii="Times New Roman" w:eastAsia="Times New Roman" w:hAnsi="Times New Roman" w:cs="Times New Roman"/>
        </w:rPr>
        <w:t>InCites</w:t>
      </w:r>
      <w:proofErr w:type="spellEnd"/>
      <w:r w:rsidRPr="00ED455E">
        <w:rPr>
          <w:rStyle w:val="Vurgu"/>
          <w:rFonts w:ascii="Times New Roman" w:eastAsia="Times New Roman" w:hAnsi="Times New Roman" w:cs="Times New Roman"/>
        </w:rPr>
        <w:t xml:space="preserve"> Kullanıcı Eğitimi</w:t>
      </w:r>
    </w:p>
    <w:p w:rsidR="00ED455E" w:rsidRDefault="00ED455E" w:rsidP="00D01FA7">
      <w:pPr>
        <w:widowControl/>
        <w:spacing w:after="160" w:line="259" w:lineRule="auto"/>
        <w:jc w:val="both"/>
        <w:rPr>
          <w:rFonts w:ascii="Times New Roman" w:eastAsia="Calibri" w:hAnsi="Times New Roman" w:cs="Times New Roman"/>
          <w:sz w:val="24"/>
        </w:rPr>
      </w:pPr>
    </w:p>
    <w:p w:rsidR="00D371DC" w:rsidRPr="00D371DC" w:rsidRDefault="00D84845" w:rsidP="003B155E">
      <w:pPr>
        <w:widowControl/>
        <w:spacing w:after="160" w:line="259" w:lineRule="auto"/>
        <w:jc w:val="both"/>
        <w:rPr>
          <w:rFonts w:ascii="Times New Roman" w:hAnsi="Times New Roman" w:cs="Times New Roman"/>
          <w:sz w:val="24"/>
          <w:szCs w:val="24"/>
        </w:rPr>
      </w:pPr>
      <w:proofErr w:type="gramStart"/>
      <w:r w:rsidRPr="00D84845">
        <w:rPr>
          <w:rFonts w:ascii="Times New Roman" w:eastAsia="Calibri" w:hAnsi="Times New Roman" w:cs="Times New Roman"/>
          <w:sz w:val="24"/>
        </w:rPr>
        <w:lastRenderedPageBreak/>
        <w:t>Öğretim elemanlarının araştırma yetkinliğini geliştirmeye yönelik Ortak programlar, ortak araştırma birimleri</w:t>
      </w:r>
      <w:r w:rsidR="003B155E">
        <w:rPr>
          <w:rFonts w:ascii="Times New Roman" w:eastAsia="Calibri" w:hAnsi="Times New Roman" w:cs="Times New Roman"/>
          <w:sz w:val="24"/>
        </w:rPr>
        <w:t xml:space="preserve">; </w:t>
      </w:r>
      <w:r w:rsidR="009B1A24">
        <w:rPr>
          <w:rFonts w:ascii="Times New Roman" w:eastAsia="Calibri" w:hAnsi="Times New Roman" w:cs="Times New Roman"/>
          <w:sz w:val="24"/>
        </w:rPr>
        <w:t>u</w:t>
      </w:r>
      <w:r w:rsidR="00D371DC" w:rsidRPr="00D371DC">
        <w:rPr>
          <w:rFonts w:ascii="Times New Roman" w:hAnsi="Times New Roman" w:cs="Times New Roman"/>
          <w:sz w:val="24"/>
          <w:szCs w:val="24"/>
        </w:rPr>
        <w:t xml:space="preserve">lusal ve uluslararası düzeyde kurum içi ve kurumlar arası ortak programlar ve ortak araştırma birimleri ile araştırma ağlarına katılım ve işbirlikleri kurma gibi çoklu araştırma faaliyetleri ve uygulamalar düzenli olarak ARGEDA-TTO Direktörlüğü tarafından izlenmekte ve üniversitemiz içerisinde gerekli bilgilendirmeler yapılmaktadır. </w:t>
      </w:r>
      <w:proofErr w:type="gramEnd"/>
    </w:p>
    <w:p w:rsidR="00D371DC" w:rsidRPr="00D371DC" w:rsidRDefault="00D371DC" w:rsidP="00D371DC">
      <w:pPr>
        <w:autoSpaceDE w:val="0"/>
        <w:autoSpaceDN w:val="0"/>
        <w:adjustRightInd w:val="0"/>
        <w:rPr>
          <w:rFonts w:ascii="Times New Roman" w:hAnsi="Times New Roman" w:cs="Times New Roman"/>
          <w:sz w:val="24"/>
          <w:szCs w:val="24"/>
        </w:rPr>
      </w:pPr>
    </w:p>
    <w:p w:rsidR="00D371DC" w:rsidRDefault="00D371DC" w:rsidP="0081686D">
      <w:pPr>
        <w:autoSpaceDE w:val="0"/>
        <w:autoSpaceDN w:val="0"/>
        <w:adjustRightInd w:val="0"/>
        <w:jc w:val="both"/>
        <w:rPr>
          <w:rFonts w:ascii="Times New Roman" w:hAnsi="Times New Roman" w:cs="Times New Roman"/>
          <w:sz w:val="24"/>
          <w:szCs w:val="24"/>
        </w:rPr>
      </w:pPr>
      <w:r w:rsidRPr="00D371DC">
        <w:rPr>
          <w:rFonts w:ascii="Times New Roman" w:hAnsi="Times New Roman" w:cs="Times New Roman"/>
          <w:sz w:val="24"/>
          <w:szCs w:val="24"/>
        </w:rPr>
        <w:t xml:space="preserve">Uluslararası İlişkiler </w:t>
      </w:r>
      <w:r w:rsidR="00D84845">
        <w:rPr>
          <w:rFonts w:ascii="Times New Roman" w:hAnsi="Times New Roman" w:cs="Times New Roman"/>
          <w:sz w:val="24"/>
          <w:szCs w:val="24"/>
        </w:rPr>
        <w:t>Direktörlüğü</w:t>
      </w:r>
      <w:r w:rsidRPr="00D371DC">
        <w:rPr>
          <w:rFonts w:ascii="Times New Roman" w:hAnsi="Times New Roman" w:cs="Times New Roman"/>
          <w:sz w:val="24"/>
          <w:szCs w:val="24"/>
        </w:rPr>
        <w:t xml:space="preserve"> ile ARGEDA-TTO Direktörlüğü, işbirliği protokolümüz bulunan yurt dışı üniversiteler ile TÜBİTAK İkili işbirliği programları çerçevesinde yapılabilecek ortak projelere ve potansiyel işbirliklerine ilişkin çalışmalar </w:t>
      </w:r>
      <w:r w:rsidR="00CF1DAA">
        <w:rPr>
          <w:rFonts w:ascii="Times New Roman" w:hAnsi="Times New Roman" w:cs="Times New Roman"/>
          <w:sz w:val="24"/>
          <w:szCs w:val="24"/>
        </w:rPr>
        <w:t>(</w:t>
      </w:r>
      <w:r w:rsidR="0081686D">
        <w:rPr>
          <w:rFonts w:ascii="Times New Roman" w:hAnsi="Times New Roman" w:cs="Times New Roman"/>
          <w:sz w:val="24"/>
          <w:szCs w:val="24"/>
        </w:rPr>
        <w:t xml:space="preserve">detay bilgiler </w:t>
      </w:r>
      <w:proofErr w:type="spellStart"/>
      <w:r w:rsidR="00CF1DAA">
        <w:rPr>
          <w:rFonts w:ascii="Times New Roman" w:hAnsi="Times New Roman" w:cs="Times New Roman"/>
          <w:sz w:val="24"/>
          <w:szCs w:val="24"/>
        </w:rPr>
        <w:t>uluslararasılaşma</w:t>
      </w:r>
      <w:proofErr w:type="spellEnd"/>
      <w:r w:rsidR="00CF1DAA">
        <w:rPr>
          <w:rFonts w:ascii="Times New Roman" w:hAnsi="Times New Roman" w:cs="Times New Roman"/>
          <w:sz w:val="24"/>
          <w:szCs w:val="24"/>
        </w:rPr>
        <w:t xml:space="preserve"> başlığı altında verilmiştir) </w:t>
      </w:r>
      <w:r w:rsidRPr="00D371DC">
        <w:rPr>
          <w:rFonts w:ascii="Times New Roman" w:hAnsi="Times New Roman" w:cs="Times New Roman"/>
          <w:sz w:val="24"/>
          <w:szCs w:val="24"/>
        </w:rPr>
        <w:t xml:space="preserve">yürütmektedir. 2019-2020 akademik yılı itibariyle uygulamaya konulan </w:t>
      </w:r>
      <w:hyperlink r:id="rId28" w:history="1">
        <w:r w:rsidRPr="00681C7D">
          <w:rPr>
            <w:rStyle w:val="Kpr"/>
            <w:rFonts w:ascii="Times New Roman" w:hAnsi="Times New Roman" w:cs="Times New Roman"/>
            <w:sz w:val="24"/>
            <w:szCs w:val="24"/>
          </w:rPr>
          <w:t>Uluslararası İşbirliği Destek (UDP) programı</w:t>
        </w:r>
      </w:hyperlink>
      <w:r w:rsidRPr="00D371DC">
        <w:rPr>
          <w:rFonts w:ascii="Times New Roman" w:hAnsi="Times New Roman" w:cs="Times New Roman"/>
          <w:sz w:val="24"/>
          <w:szCs w:val="24"/>
        </w:rPr>
        <w:t xml:space="preserve"> bu faaliyetlerin tamamlayıcısı niteliğindedir. </w:t>
      </w:r>
    </w:p>
    <w:p w:rsidR="0081686D" w:rsidRPr="0081686D" w:rsidRDefault="0081686D" w:rsidP="0081686D">
      <w:pPr>
        <w:autoSpaceDE w:val="0"/>
        <w:autoSpaceDN w:val="0"/>
        <w:adjustRightInd w:val="0"/>
        <w:jc w:val="both"/>
        <w:rPr>
          <w:rFonts w:ascii="Times New Roman" w:hAnsi="Times New Roman" w:cs="Times New Roman"/>
          <w:sz w:val="24"/>
          <w:szCs w:val="24"/>
        </w:rPr>
      </w:pPr>
    </w:p>
    <w:p w:rsidR="00D01FA7" w:rsidRDefault="00D01FA7" w:rsidP="00D01FA7">
      <w:pPr>
        <w:widowControl/>
        <w:spacing w:after="160" w:line="259" w:lineRule="auto"/>
        <w:jc w:val="both"/>
        <w:rPr>
          <w:rFonts w:ascii="Times New Roman" w:eastAsia="Calibri" w:hAnsi="Times New Roman" w:cs="Times New Roman"/>
          <w:sz w:val="24"/>
        </w:rPr>
      </w:pPr>
      <w:r w:rsidRPr="00F04BBF">
        <w:rPr>
          <w:rFonts w:ascii="Times New Roman" w:eastAsia="Calibri" w:hAnsi="Times New Roman" w:cs="Times New Roman"/>
          <w:sz w:val="24"/>
        </w:rPr>
        <w:t>Mevcut araştırma kadrosunun yetkinliği akademik performans değerlendirme sistemi aracılığıyla ölçülmektedir. Akademik performans değerlendirme sisteminin geliştirilmesi gereken bazı noktalarının olduğu belirlenmiş ve bu yönde çalışmalar yapılmıştır.  Yıllık performans değerlendirmesinde hem araştırma hem de eğitim faaliyetlerini dikkate alan, atama ve yükseltmelerde bilime katkıyı es</w:t>
      </w:r>
      <w:bookmarkStart w:id="11" w:name="_GoBack"/>
      <w:bookmarkEnd w:id="11"/>
      <w:r w:rsidRPr="00F04BBF">
        <w:rPr>
          <w:rFonts w:ascii="Times New Roman" w:eastAsia="Calibri" w:hAnsi="Times New Roman" w:cs="Times New Roman"/>
          <w:sz w:val="24"/>
        </w:rPr>
        <w:t xml:space="preserve">as alacak bir yapının oluşturulması benimsenmiştir. </w:t>
      </w:r>
      <w:r w:rsidR="00371665">
        <w:rPr>
          <w:rFonts w:ascii="Times New Roman" w:eastAsia="Calibri" w:hAnsi="Times New Roman" w:cs="Times New Roman"/>
          <w:sz w:val="24"/>
        </w:rPr>
        <w:t xml:space="preserve"> </w:t>
      </w:r>
      <w:r w:rsidRPr="00F04BBF">
        <w:rPr>
          <w:rFonts w:ascii="Times New Roman" w:eastAsia="Calibri" w:hAnsi="Times New Roman" w:cs="Times New Roman"/>
          <w:sz w:val="24"/>
        </w:rPr>
        <w:t xml:space="preserve">Akademik performans değerlendirme sistemi üniversitemizi hem ulusal hem de uluslararası düzeyde üst sıralara taşıyacak performans göstergelerini (yayınlar, atıflar, projeler, patent, endüstri geliri vb.) dikkate alarak revize edilmiştir. Yeni performans değerlendirme sisteminde disiplinler arası farklılıklar dikkate alınarak bir ölçüm sistemi geliştirilmiştir.  </w:t>
      </w:r>
    </w:p>
    <w:p w:rsidR="003069A5" w:rsidRPr="00F04BBF" w:rsidRDefault="003069A5" w:rsidP="003069A5">
      <w:pPr>
        <w:widowControl/>
        <w:spacing w:after="60" w:line="259" w:lineRule="auto"/>
        <w:jc w:val="both"/>
        <w:rPr>
          <w:rFonts w:ascii="Times New Roman" w:eastAsia="Calibri" w:hAnsi="Times New Roman" w:cs="Times New Roman"/>
          <w:sz w:val="24"/>
        </w:rPr>
      </w:pPr>
      <w:r w:rsidRPr="006217C4">
        <w:rPr>
          <w:rFonts w:ascii="Times New Roman" w:eastAsia="Calibri" w:hAnsi="Times New Roman" w:cs="Times New Roman"/>
          <w:sz w:val="24"/>
        </w:rPr>
        <w:t>Bu alan dâhilindeki akademik ve idari göstergeler, çalışmalar ve çıktılara ör</w:t>
      </w:r>
      <w:r>
        <w:rPr>
          <w:rFonts w:ascii="Times New Roman" w:eastAsia="Calibri" w:hAnsi="Times New Roman" w:cs="Times New Roman"/>
          <w:sz w:val="24"/>
        </w:rPr>
        <w:t>neklem niteliğinde olmak üzere</w:t>
      </w:r>
      <w:r w:rsidRPr="006217C4">
        <w:rPr>
          <w:rFonts w:ascii="Times New Roman" w:eastAsia="Calibri" w:hAnsi="Times New Roman" w:cs="Times New Roman"/>
          <w:sz w:val="24"/>
        </w:rPr>
        <w:t xml:space="preserve">, </w:t>
      </w:r>
      <w:hyperlink r:id="rId29" w:history="1">
        <w:r w:rsidRPr="006217C4">
          <w:rPr>
            <w:rStyle w:val="Kpr"/>
            <w:rFonts w:ascii="Times New Roman" w:eastAsia="Calibri" w:hAnsi="Times New Roman" w:cs="Times New Roman"/>
            <w:sz w:val="24"/>
          </w:rPr>
          <w:t xml:space="preserve">detay kanıt kütüphanesi için </w:t>
        </w:r>
        <w:proofErr w:type="spellStart"/>
        <w:r w:rsidRPr="006217C4">
          <w:rPr>
            <w:rStyle w:val="Kpr"/>
            <w:rFonts w:ascii="Times New Roman" w:eastAsia="Calibri" w:hAnsi="Times New Roman" w:cs="Times New Roman"/>
            <w:sz w:val="24"/>
          </w:rPr>
          <w:t>link’e</w:t>
        </w:r>
        <w:proofErr w:type="spellEnd"/>
        <w:r w:rsidRPr="006217C4">
          <w:rPr>
            <w:rStyle w:val="Kpr"/>
            <w:rFonts w:ascii="Times New Roman" w:eastAsia="Calibri" w:hAnsi="Times New Roman" w:cs="Times New Roman"/>
            <w:sz w:val="24"/>
          </w:rPr>
          <w:t xml:space="preserve"> tıklayabilirsiniz</w:t>
        </w:r>
      </w:hyperlink>
      <w:r>
        <w:rPr>
          <w:rFonts w:ascii="Times New Roman" w:eastAsia="Calibri" w:hAnsi="Times New Roman" w:cs="Times New Roman"/>
          <w:sz w:val="24"/>
        </w:rPr>
        <w:t>.</w:t>
      </w:r>
    </w:p>
    <w:p w:rsidR="00D01FA7" w:rsidRPr="000E4080" w:rsidRDefault="00797383" w:rsidP="00797383">
      <w:pPr>
        <w:pStyle w:val="Balk2"/>
        <w:numPr>
          <w:ilvl w:val="0"/>
          <w:numId w:val="0"/>
        </w:numPr>
        <w:ind w:left="360"/>
      </w:pPr>
      <w:bookmarkStart w:id="12" w:name="_Toc534375317"/>
      <w:bookmarkStart w:id="13" w:name="_Toc5190566"/>
      <w:r>
        <w:t xml:space="preserve">C.4. </w:t>
      </w:r>
      <w:r w:rsidR="00D01FA7" w:rsidRPr="000E4080">
        <w:t>Araştırma Performansı</w:t>
      </w:r>
      <w:bookmarkEnd w:id="12"/>
      <w:bookmarkEnd w:id="13"/>
    </w:p>
    <w:p w:rsidR="00D01FA7" w:rsidRPr="00F04BBF" w:rsidRDefault="00D01FA7" w:rsidP="00D01FA7">
      <w:pPr>
        <w:widowControl/>
        <w:spacing w:after="120" w:line="259" w:lineRule="auto"/>
        <w:jc w:val="both"/>
        <w:rPr>
          <w:rFonts w:ascii="Times New Roman" w:hAnsi="Times New Roman" w:cs="Times New Roman"/>
          <w:sz w:val="24"/>
          <w:szCs w:val="24"/>
        </w:rPr>
      </w:pPr>
      <w:r w:rsidRPr="00F04BBF">
        <w:rPr>
          <w:rFonts w:ascii="Times New Roman" w:hAnsi="Times New Roman" w:cs="Times New Roman"/>
          <w:sz w:val="24"/>
          <w:szCs w:val="24"/>
        </w:rPr>
        <w:t xml:space="preserve">Her takvim yılının sonuna doğru toplanan Üniversite Araştırma Kurulunda; Araştırmadan Sorumlu Rektör Yardımcılığı ve ARGEDA-TTO Direktörlüğü tarafından oluşturulmuş ve analiz edilmiş veriler sunulmakta ve tartışılmaktadır. </w:t>
      </w:r>
    </w:p>
    <w:p w:rsidR="00D01FA7" w:rsidRPr="00F04BBF" w:rsidRDefault="00D01FA7" w:rsidP="00D01FA7">
      <w:pPr>
        <w:widowControl/>
        <w:spacing w:after="120" w:line="259" w:lineRule="auto"/>
        <w:jc w:val="both"/>
        <w:rPr>
          <w:rFonts w:ascii="Times New Roman" w:hAnsi="Times New Roman" w:cs="Times New Roman"/>
          <w:sz w:val="24"/>
          <w:szCs w:val="24"/>
        </w:rPr>
      </w:pPr>
      <w:r w:rsidRPr="00F04BBF">
        <w:rPr>
          <w:rFonts w:ascii="Times New Roman" w:hAnsi="Times New Roman" w:cs="Times New Roman"/>
          <w:sz w:val="24"/>
          <w:szCs w:val="24"/>
        </w:rPr>
        <w:t xml:space="preserve">Üniversite Araştırma Kurulu öncesinde dağıtılan bilgi kitapçığında yayınlar, atıflar, iç ve dış destekli projeler, patentlere ilişkin veriler sunulmaktadır. Bu veriler ışığında yeni yıla ait hedefler ve bu hedeflerin gerçekleştirilmesi için oluşturulması gereken yeni mekanizmalar da raporlanmaktadır. </w:t>
      </w:r>
    </w:p>
    <w:p w:rsidR="00015F3A" w:rsidRDefault="00015F3A" w:rsidP="00015F3A">
      <w:pPr>
        <w:jc w:val="both"/>
        <w:rPr>
          <w:rFonts w:ascii="Times New Roman" w:hAnsi="Times New Roman" w:cs="Times New Roman"/>
          <w:sz w:val="24"/>
          <w:szCs w:val="24"/>
        </w:rPr>
      </w:pPr>
      <w:r w:rsidRPr="00015F3A">
        <w:rPr>
          <w:rFonts w:ascii="Times New Roman" w:hAnsi="Times New Roman" w:cs="Times New Roman"/>
          <w:sz w:val="24"/>
          <w:szCs w:val="24"/>
        </w:rPr>
        <w:t>Öğretim elemanı performans değerlendirmesi</w:t>
      </w:r>
      <w:r>
        <w:rPr>
          <w:rFonts w:ascii="Times New Roman" w:hAnsi="Times New Roman" w:cs="Times New Roman"/>
          <w:sz w:val="24"/>
          <w:szCs w:val="24"/>
        </w:rPr>
        <w:t xml:space="preserve"> ile ilgili olarak; m</w:t>
      </w:r>
      <w:r w:rsidRPr="00015F3A">
        <w:rPr>
          <w:rFonts w:ascii="Times New Roman" w:hAnsi="Times New Roman" w:cs="Times New Roman"/>
          <w:sz w:val="24"/>
          <w:szCs w:val="24"/>
        </w:rPr>
        <w:t xml:space="preserve">evcut araştırma kadrosunun yetkinliği akademik performans değerlendirme sistemi aracılığıyla ölçülmektedir. Yıllık performans değerlendirmesi hem araştırma hem de eğitim faaliyetlerini dikkate alan kontrol edilebilir ve kurum </w:t>
      </w:r>
      <w:proofErr w:type="gramStart"/>
      <w:r w:rsidRPr="00015F3A">
        <w:rPr>
          <w:rFonts w:ascii="Times New Roman" w:hAnsi="Times New Roman" w:cs="Times New Roman"/>
          <w:sz w:val="24"/>
          <w:szCs w:val="24"/>
        </w:rPr>
        <w:t>vizyonu</w:t>
      </w:r>
      <w:proofErr w:type="gramEnd"/>
      <w:r w:rsidRPr="00015F3A">
        <w:rPr>
          <w:rFonts w:ascii="Times New Roman" w:hAnsi="Times New Roman" w:cs="Times New Roman"/>
          <w:sz w:val="24"/>
          <w:szCs w:val="24"/>
        </w:rPr>
        <w:t xml:space="preserve"> ile uyumlu bir sistem ile ölçülmektedir. Araştırma beklentisi disiplinler arası farklılık gözetilerek oluşturulmuştur. </w:t>
      </w:r>
    </w:p>
    <w:p w:rsidR="00015F3A" w:rsidRPr="00015F3A" w:rsidRDefault="00015F3A" w:rsidP="00015F3A">
      <w:pPr>
        <w:jc w:val="both"/>
        <w:rPr>
          <w:rFonts w:ascii="Times New Roman" w:hAnsi="Times New Roman" w:cs="Times New Roman"/>
          <w:sz w:val="24"/>
          <w:szCs w:val="24"/>
        </w:rPr>
      </w:pPr>
    </w:p>
    <w:p w:rsidR="00015F3A" w:rsidRPr="00015F3A" w:rsidRDefault="00015F3A" w:rsidP="00015F3A">
      <w:pPr>
        <w:jc w:val="both"/>
        <w:rPr>
          <w:rFonts w:ascii="Times New Roman" w:hAnsi="Times New Roman" w:cs="Times New Roman"/>
          <w:sz w:val="24"/>
          <w:szCs w:val="24"/>
        </w:rPr>
      </w:pPr>
      <w:r w:rsidRPr="00015F3A">
        <w:rPr>
          <w:rFonts w:ascii="Times New Roman" w:hAnsi="Times New Roman" w:cs="Times New Roman"/>
          <w:sz w:val="24"/>
          <w:szCs w:val="24"/>
        </w:rPr>
        <w:t>Performans değerlendirmesi “</w:t>
      </w:r>
      <w:hyperlink r:id="rId30" w:history="1">
        <w:r w:rsidRPr="00397946">
          <w:rPr>
            <w:rStyle w:val="Kpr"/>
            <w:rFonts w:ascii="Times New Roman" w:hAnsi="Times New Roman" w:cs="Times New Roman"/>
            <w:sz w:val="24"/>
            <w:szCs w:val="24"/>
          </w:rPr>
          <w:t>Öğretim Elemanı Başarım (Performans) Ölçme Kriterleri Usul ve Esasları Yönergesi</w:t>
        </w:r>
      </w:hyperlink>
      <w:r w:rsidRPr="00015F3A">
        <w:rPr>
          <w:rFonts w:ascii="Times New Roman" w:hAnsi="Times New Roman" w:cs="Times New Roman"/>
          <w:sz w:val="24"/>
          <w:szCs w:val="24"/>
        </w:rPr>
        <w:t xml:space="preserve">” kapsamında şeffaf ve objektif </w:t>
      </w:r>
      <w:proofErr w:type="gramStart"/>
      <w:r w:rsidRPr="00015F3A">
        <w:rPr>
          <w:rFonts w:ascii="Times New Roman" w:hAnsi="Times New Roman" w:cs="Times New Roman"/>
          <w:sz w:val="24"/>
          <w:szCs w:val="24"/>
        </w:rPr>
        <w:t>kriterlere</w:t>
      </w:r>
      <w:proofErr w:type="gramEnd"/>
      <w:r w:rsidRPr="00015F3A">
        <w:rPr>
          <w:rFonts w:ascii="Times New Roman" w:hAnsi="Times New Roman" w:cs="Times New Roman"/>
          <w:sz w:val="24"/>
          <w:szCs w:val="24"/>
        </w:rPr>
        <w:t xml:space="preserve"> bağlı olarak yapılmaktadır. </w:t>
      </w:r>
    </w:p>
    <w:p w:rsidR="00397946" w:rsidRDefault="00397946" w:rsidP="00015F3A">
      <w:pPr>
        <w:jc w:val="both"/>
        <w:rPr>
          <w:rFonts w:ascii="Times New Roman" w:hAnsi="Times New Roman" w:cs="Times New Roman"/>
          <w:sz w:val="24"/>
          <w:szCs w:val="24"/>
        </w:rPr>
      </w:pPr>
    </w:p>
    <w:p w:rsidR="00015F3A" w:rsidRPr="00D508DC" w:rsidRDefault="00397946" w:rsidP="00015F3A">
      <w:pPr>
        <w:jc w:val="both"/>
        <w:rPr>
          <w:rFonts w:ascii="Times New Roman" w:hAnsi="Times New Roman" w:cs="Times New Roman"/>
          <w:sz w:val="24"/>
          <w:szCs w:val="24"/>
        </w:rPr>
      </w:pPr>
      <w:r>
        <w:rPr>
          <w:rFonts w:ascii="Times New Roman" w:hAnsi="Times New Roman" w:cs="Times New Roman"/>
          <w:sz w:val="24"/>
          <w:szCs w:val="24"/>
        </w:rPr>
        <w:t xml:space="preserve">Süreç ve yöntem şu şekildedir; </w:t>
      </w:r>
      <w:r w:rsidR="00015F3A" w:rsidRPr="00015F3A">
        <w:rPr>
          <w:rFonts w:ascii="Times New Roman" w:hAnsi="Times New Roman" w:cs="Times New Roman"/>
          <w:sz w:val="24"/>
          <w:szCs w:val="24"/>
        </w:rPr>
        <w:t xml:space="preserve">Öğretim elemanı ilgili yönergenin ekinde yer alan Akademik Başarım Puanlama Çizelgesini esas alarak bir önceki yıla ilişkin faaliyetlerine ait istenen bilgileri Atılım Üniversitesi Akademik Başarım Sistemi üzerinden her yıl 15 Şubat tarihine kadar doğru bir şekilde girer. Öğretim elemanı tarafından girilen bilgiler Bölüm Başkanı </w:t>
      </w:r>
      <w:r w:rsidR="00015F3A" w:rsidRPr="00D508DC">
        <w:rPr>
          <w:rFonts w:ascii="Times New Roman" w:hAnsi="Times New Roman" w:cs="Times New Roman"/>
          <w:sz w:val="24"/>
          <w:szCs w:val="24"/>
        </w:rPr>
        <w:lastRenderedPageBreak/>
        <w:t>tarafından her yıl 1 Mart tarihine kadar ve daha sonra Dekan/Yüksekokul Müdürü tarafından her yıl 15 Mart tarihine kadar incelenerek gerektiğinde düzeltmeler talep edilir ve onaylanır. Gerek görülmesi halinde Dekanlık/Müdürlük tarafından bölümlerden gelen bilgilerin incelenmesi için Dekan/Müdür Yardımcısı başkanlığında üç kişilik komisyon kurulabilir. Bu halde de inceleme ve onaylama işlemleri her yıl 15 Mart tarihine kadar tamamlanır. Dekan/Yüksekokul Müdürü tarafından onay işlemi tamamlandıktan sonra Fakülte/Yüksekokul öğretim elemanlarına ait bilgiler her yıl 20 Mart tarihine kadar Rektörlüğe sunulur. Araştırmadan sorumlu Rektör Yardımcısının başkanlık ettiği Akademik Başarım Değerlendirme Komisyonu, Dekanlık/Yüksekokul Müdürlüğü tarafından Rektörlüğe gönderilen değerlendirme sonuçlarını inceler ve her öğretim elemanı için başarım endeksini hesaplar. Komisyon başarım endeksi hesaplamalarını o yılın 31 Mart tarihine kadar Rektörlüğe sunar.</w:t>
      </w:r>
    </w:p>
    <w:p w:rsidR="008B6924" w:rsidRPr="00D508DC" w:rsidRDefault="008B6924" w:rsidP="00015F3A">
      <w:pPr>
        <w:jc w:val="both"/>
        <w:rPr>
          <w:rFonts w:ascii="Times New Roman" w:hAnsi="Times New Roman" w:cs="Times New Roman"/>
          <w:sz w:val="24"/>
          <w:szCs w:val="24"/>
        </w:rPr>
      </w:pPr>
    </w:p>
    <w:p w:rsidR="00015F3A" w:rsidRPr="00D508DC" w:rsidRDefault="00015F3A" w:rsidP="00015F3A">
      <w:pPr>
        <w:jc w:val="both"/>
        <w:rPr>
          <w:rFonts w:ascii="Times New Roman" w:hAnsi="Times New Roman" w:cs="Times New Roman"/>
          <w:sz w:val="24"/>
          <w:szCs w:val="24"/>
        </w:rPr>
      </w:pPr>
      <w:r w:rsidRPr="00D508DC">
        <w:rPr>
          <w:rFonts w:ascii="Times New Roman" w:hAnsi="Times New Roman" w:cs="Times New Roman"/>
          <w:sz w:val="24"/>
          <w:szCs w:val="24"/>
        </w:rPr>
        <w:t>Öğretim elemanının bağlı bulunduğu fakülte/yüksekokul dikkate alınarak araştırma ve eğitim faaliyetleri başarım puanı yönerge ekinde yer alan çizelgelere göre hesaplanır. Çizelgelerde yer alan koşullara bağlı olarak 1 ile 5 arasında tamsayı değerleri alan araştırma başarım puanı (P1) ve eğitim başarım puanı (P2) hesaplanır. P1 ve P2 değerleri elde edildikten sonra P = 0.65xP1 + 0.35xP2 formülü yoluyla birleştirilmiş başarım endeksi (P) hesaplanır.</w:t>
      </w:r>
    </w:p>
    <w:p w:rsidR="00015F3A" w:rsidRPr="00D508DC" w:rsidRDefault="00015F3A" w:rsidP="00D01FA7">
      <w:pPr>
        <w:widowControl/>
        <w:spacing w:after="120" w:line="259" w:lineRule="auto"/>
        <w:jc w:val="both"/>
        <w:rPr>
          <w:rFonts w:ascii="Times New Roman" w:hAnsi="Times New Roman" w:cs="Times New Roman"/>
          <w:sz w:val="24"/>
          <w:szCs w:val="24"/>
        </w:rPr>
      </w:pPr>
    </w:p>
    <w:p w:rsidR="004852E9" w:rsidRPr="00D508DC" w:rsidRDefault="004852E9" w:rsidP="004852E9">
      <w:pPr>
        <w:jc w:val="both"/>
        <w:rPr>
          <w:rFonts w:ascii="Times New Roman" w:hAnsi="Times New Roman" w:cs="Times New Roman"/>
          <w:sz w:val="24"/>
          <w:szCs w:val="24"/>
        </w:rPr>
      </w:pPr>
      <w:r w:rsidRPr="00D508DC">
        <w:rPr>
          <w:rFonts w:ascii="Times New Roman" w:hAnsi="Times New Roman" w:cs="Times New Roman"/>
          <w:sz w:val="24"/>
          <w:szCs w:val="24"/>
        </w:rPr>
        <w:t>Araştırma performansının değerlendirilmesi ve sonuçlara dayalı iyileştirilmesi ile ilgili olarak; Öğretim elemanı performansının değerlendirilmesi çerçevesinde yukarıda detayları verilmiş olan ve elde edilmiş olan başarım endeksine (P değeri) dayalı olarak yapılır. Araştırmadan sorumlu Rektör Yardımcılığı tarafından tüm öğretim elemanlarına ait başarım endeksi verileri hem üniversite geneli için hem de Fakülteler bazında istatistiksel olarak değerlendirilir. Öğretim elemanının bir sonraki yıl ücret artışı P başarım endeksi değeri esas alınarak belirlenir.</w:t>
      </w:r>
    </w:p>
    <w:p w:rsidR="004852E9" w:rsidRDefault="004852E9" w:rsidP="00D01FA7">
      <w:pPr>
        <w:widowControl/>
        <w:spacing w:after="120" w:line="259" w:lineRule="auto"/>
        <w:jc w:val="both"/>
        <w:rPr>
          <w:rFonts w:ascii="Times New Roman" w:hAnsi="Times New Roman" w:cs="Times New Roman"/>
          <w:sz w:val="24"/>
          <w:szCs w:val="24"/>
        </w:rPr>
      </w:pPr>
    </w:p>
    <w:p w:rsidR="00E52D95" w:rsidRPr="004B1A45" w:rsidRDefault="00E52D95" w:rsidP="00E52D95">
      <w:pPr>
        <w:jc w:val="both"/>
        <w:rPr>
          <w:rFonts w:ascii="Times New Roman" w:hAnsi="Times New Roman" w:cs="Times New Roman"/>
          <w:sz w:val="24"/>
          <w:szCs w:val="24"/>
        </w:rPr>
      </w:pPr>
      <w:r w:rsidRPr="004B1A45">
        <w:rPr>
          <w:rFonts w:ascii="Times New Roman" w:hAnsi="Times New Roman" w:cs="Times New Roman"/>
          <w:sz w:val="24"/>
          <w:szCs w:val="24"/>
        </w:rPr>
        <w:t xml:space="preserve">Son olarak; Araştırma Bütçe Performansı konusunda Üniversitemiz araştırma bütçesi kalemleri; </w:t>
      </w:r>
    </w:p>
    <w:p w:rsidR="00E52D95" w:rsidRPr="004B1A45" w:rsidRDefault="00E52D95" w:rsidP="00E52D95">
      <w:pPr>
        <w:pStyle w:val="ListeParagraf"/>
        <w:widowControl/>
        <w:numPr>
          <w:ilvl w:val="0"/>
          <w:numId w:val="17"/>
        </w:numPr>
        <w:spacing w:after="200" w:line="276" w:lineRule="auto"/>
        <w:contextualSpacing/>
        <w:jc w:val="both"/>
        <w:rPr>
          <w:rFonts w:ascii="Times New Roman" w:hAnsi="Times New Roman" w:cs="Times New Roman"/>
          <w:sz w:val="24"/>
          <w:szCs w:val="24"/>
        </w:rPr>
      </w:pPr>
      <w:r w:rsidRPr="004B1A45">
        <w:rPr>
          <w:rFonts w:ascii="Times New Roman" w:hAnsi="Times New Roman" w:cs="Times New Roman"/>
          <w:sz w:val="24"/>
          <w:szCs w:val="24"/>
        </w:rPr>
        <w:t>İç destek programlarına (LAP, BAD, ADP, UDP) ilişkin fonlar</w:t>
      </w:r>
    </w:p>
    <w:p w:rsidR="00E52D95" w:rsidRPr="004B1A45" w:rsidRDefault="00E52D95" w:rsidP="00E52D95">
      <w:pPr>
        <w:pStyle w:val="ListeParagraf"/>
        <w:widowControl/>
        <w:numPr>
          <w:ilvl w:val="0"/>
          <w:numId w:val="17"/>
        </w:numPr>
        <w:spacing w:after="200" w:line="276" w:lineRule="auto"/>
        <w:contextualSpacing/>
        <w:jc w:val="both"/>
        <w:rPr>
          <w:rFonts w:ascii="Times New Roman" w:hAnsi="Times New Roman" w:cs="Times New Roman"/>
          <w:sz w:val="24"/>
          <w:szCs w:val="24"/>
        </w:rPr>
      </w:pPr>
      <w:r w:rsidRPr="004B1A45">
        <w:rPr>
          <w:rFonts w:ascii="Times New Roman" w:hAnsi="Times New Roman" w:cs="Times New Roman"/>
          <w:sz w:val="24"/>
          <w:szCs w:val="24"/>
        </w:rPr>
        <w:t>Yayın teşvik giderleri</w:t>
      </w:r>
    </w:p>
    <w:p w:rsidR="00E52D95" w:rsidRPr="004B1A45" w:rsidRDefault="00E52D95" w:rsidP="00E52D95">
      <w:pPr>
        <w:pStyle w:val="ListeParagraf"/>
        <w:widowControl/>
        <w:numPr>
          <w:ilvl w:val="0"/>
          <w:numId w:val="17"/>
        </w:numPr>
        <w:spacing w:after="200" w:line="276" w:lineRule="auto"/>
        <w:contextualSpacing/>
        <w:jc w:val="both"/>
        <w:rPr>
          <w:rFonts w:ascii="Times New Roman" w:hAnsi="Times New Roman" w:cs="Times New Roman"/>
          <w:sz w:val="24"/>
          <w:szCs w:val="24"/>
        </w:rPr>
      </w:pPr>
      <w:r w:rsidRPr="004B1A45">
        <w:rPr>
          <w:rFonts w:ascii="Times New Roman" w:hAnsi="Times New Roman" w:cs="Times New Roman"/>
          <w:sz w:val="24"/>
          <w:szCs w:val="24"/>
        </w:rPr>
        <w:t>Kütüphane giderleri (Bilimsel içerikli yayınlar için harcanan tutar)</w:t>
      </w:r>
    </w:p>
    <w:p w:rsidR="00E52D95" w:rsidRPr="004B1A45" w:rsidRDefault="00E52D95" w:rsidP="00E52D95">
      <w:pPr>
        <w:pStyle w:val="ListeParagraf"/>
        <w:widowControl/>
        <w:numPr>
          <w:ilvl w:val="0"/>
          <w:numId w:val="17"/>
        </w:numPr>
        <w:spacing w:after="200" w:line="276" w:lineRule="auto"/>
        <w:contextualSpacing/>
        <w:jc w:val="both"/>
        <w:rPr>
          <w:rFonts w:ascii="Times New Roman" w:hAnsi="Times New Roman" w:cs="Times New Roman"/>
          <w:sz w:val="24"/>
          <w:szCs w:val="24"/>
        </w:rPr>
      </w:pPr>
      <w:r w:rsidRPr="004B1A45">
        <w:rPr>
          <w:rFonts w:ascii="Times New Roman" w:hAnsi="Times New Roman" w:cs="Times New Roman"/>
          <w:sz w:val="24"/>
          <w:szCs w:val="24"/>
        </w:rPr>
        <w:t>Araştırma veri tabanı giderleri</w:t>
      </w:r>
    </w:p>
    <w:p w:rsidR="00E52D95" w:rsidRPr="004B1A45" w:rsidRDefault="00E52D95" w:rsidP="00E52D95">
      <w:pPr>
        <w:pStyle w:val="ListeParagraf"/>
        <w:widowControl/>
        <w:numPr>
          <w:ilvl w:val="0"/>
          <w:numId w:val="17"/>
        </w:numPr>
        <w:spacing w:after="200" w:line="276" w:lineRule="auto"/>
        <w:contextualSpacing/>
        <w:jc w:val="both"/>
        <w:rPr>
          <w:rFonts w:ascii="Times New Roman" w:hAnsi="Times New Roman" w:cs="Times New Roman"/>
          <w:sz w:val="24"/>
          <w:szCs w:val="24"/>
        </w:rPr>
      </w:pPr>
      <w:r w:rsidRPr="004B1A45">
        <w:rPr>
          <w:rFonts w:ascii="Times New Roman" w:hAnsi="Times New Roman" w:cs="Times New Roman"/>
          <w:sz w:val="24"/>
          <w:szCs w:val="24"/>
        </w:rPr>
        <w:t>Fikri Mülkiyet Hakları giderleri</w:t>
      </w:r>
    </w:p>
    <w:p w:rsidR="00E52D95" w:rsidRPr="004B1A45" w:rsidRDefault="00E52D95" w:rsidP="00E52D95">
      <w:pPr>
        <w:pStyle w:val="ListeParagraf"/>
        <w:widowControl/>
        <w:numPr>
          <w:ilvl w:val="0"/>
          <w:numId w:val="17"/>
        </w:numPr>
        <w:spacing w:after="200" w:line="276" w:lineRule="auto"/>
        <w:contextualSpacing/>
        <w:jc w:val="both"/>
        <w:rPr>
          <w:rFonts w:ascii="Times New Roman" w:hAnsi="Times New Roman" w:cs="Times New Roman"/>
          <w:sz w:val="24"/>
          <w:szCs w:val="24"/>
        </w:rPr>
      </w:pPr>
      <w:r w:rsidRPr="004B1A45">
        <w:rPr>
          <w:rFonts w:ascii="Times New Roman" w:hAnsi="Times New Roman" w:cs="Times New Roman"/>
          <w:sz w:val="24"/>
          <w:szCs w:val="24"/>
        </w:rPr>
        <w:t>Yurt dışı/içi konferans destekleri</w:t>
      </w:r>
    </w:p>
    <w:p w:rsidR="00E52D95" w:rsidRPr="004B1A45" w:rsidRDefault="00E52D95" w:rsidP="00E52D95">
      <w:pPr>
        <w:jc w:val="both"/>
        <w:rPr>
          <w:rFonts w:ascii="Times New Roman" w:hAnsi="Times New Roman" w:cs="Times New Roman"/>
          <w:sz w:val="24"/>
          <w:szCs w:val="24"/>
        </w:rPr>
      </w:pPr>
      <w:proofErr w:type="gramStart"/>
      <w:r w:rsidRPr="004B1A45">
        <w:rPr>
          <w:rFonts w:ascii="Times New Roman" w:hAnsi="Times New Roman" w:cs="Times New Roman"/>
          <w:sz w:val="24"/>
          <w:szCs w:val="24"/>
        </w:rPr>
        <w:t>olarak</w:t>
      </w:r>
      <w:proofErr w:type="gramEnd"/>
      <w:r w:rsidRPr="004B1A45">
        <w:rPr>
          <w:rFonts w:ascii="Times New Roman" w:hAnsi="Times New Roman" w:cs="Times New Roman"/>
          <w:sz w:val="24"/>
          <w:szCs w:val="24"/>
        </w:rPr>
        <w:t xml:space="preserve"> sıralanabilir.</w:t>
      </w:r>
    </w:p>
    <w:p w:rsidR="00E52D95" w:rsidRPr="004B1A45" w:rsidRDefault="00E52D95" w:rsidP="00E52D95">
      <w:pPr>
        <w:jc w:val="both"/>
        <w:rPr>
          <w:rFonts w:ascii="Times New Roman" w:hAnsi="Times New Roman" w:cs="Times New Roman"/>
          <w:sz w:val="24"/>
          <w:szCs w:val="24"/>
        </w:rPr>
      </w:pPr>
    </w:p>
    <w:p w:rsidR="00E52D95" w:rsidRPr="007C0084" w:rsidRDefault="00E52D95" w:rsidP="00E52D95">
      <w:pPr>
        <w:jc w:val="both"/>
        <w:rPr>
          <w:rFonts w:eastAsia="Times New Roman" w:cstheme="minorHAnsi"/>
          <w:color w:val="262626"/>
          <w:sz w:val="24"/>
          <w:szCs w:val="24"/>
          <w:lang w:eastAsia="tr-TR"/>
        </w:rPr>
      </w:pPr>
      <w:r w:rsidRPr="00A45ADC">
        <w:rPr>
          <w:rFonts w:ascii="Times New Roman" w:hAnsi="Times New Roman" w:cs="Times New Roman"/>
          <w:sz w:val="24"/>
          <w:szCs w:val="24"/>
        </w:rPr>
        <w:t xml:space="preserve">Mevcut durumda yayın teşvik giderleri ile üretilen yıllık </w:t>
      </w:r>
      <w:proofErr w:type="spellStart"/>
      <w:r w:rsidRPr="00A45ADC">
        <w:rPr>
          <w:rFonts w:ascii="Times New Roman" w:hAnsi="Times New Roman" w:cs="Times New Roman"/>
          <w:sz w:val="24"/>
          <w:szCs w:val="24"/>
        </w:rPr>
        <w:t>WoS</w:t>
      </w:r>
      <w:proofErr w:type="spellEnd"/>
      <w:r w:rsidRPr="00A45ADC">
        <w:rPr>
          <w:rFonts w:ascii="Times New Roman" w:hAnsi="Times New Roman" w:cs="Times New Roman"/>
          <w:sz w:val="24"/>
          <w:szCs w:val="24"/>
        </w:rPr>
        <w:t xml:space="preserve"> endeksli tam makale sayısı arasında bütçe-performans ilişkisini izlemeye yönelik bir uygulama bulunmaktadır. İç destek programları kapsamında kullandırılan fonlar için de bir performans izleme mekanizması bulunmaktadır. Örneğin; usul ve esasları </w:t>
      </w:r>
      <w:r w:rsidR="007D71AB">
        <w:rPr>
          <w:rFonts w:cstheme="minorHAnsi"/>
          <w:sz w:val="24"/>
          <w:szCs w:val="24"/>
        </w:rPr>
        <w:t>“</w:t>
      </w:r>
      <w:hyperlink r:id="rId31" w:history="1">
        <w:r w:rsidRPr="007D71AB">
          <w:rPr>
            <w:rStyle w:val="Kpr"/>
            <w:rFonts w:cstheme="minorHAnsi"/>
            <w:sz w:val="24"/>
            <w:szCs w:val="24"/>
          </w:rPr>
          <w:t>Başlangıç Araştırma Desteği programı</w:t>
        </w:r>
      </w:hyperlink>
      <w:r w:rsidR="007D71AB">
        <w:rPr>
          <w:rFonts w:cstheme="minorHAnsi"/>
          <w:sz w:val="24"/>
          <w:szCs w:val="24"/>
        </w:rPr>
        <w:t>”</w:t>
      </w:r>
      <w:r w:rsidRPr="007C0084">
        <w:rPr>
          <w:rFonts w:cstheme="minorHAnsi"/>
          <w:sz w:val="24"/>
          <w:szCs w:val="24"/>
        </w:rPr>
        <w:t xml:space="preserve"> </w:t>
      </w:r>
      <w:r w:rsidRPr="00A45ADC">
        <w:rPr>
          <w:rFonts w:ascii="Times New Roman" w:hAnsi="Times New Roman" w:cs="Times New Roman"/>
          <w:sz w:val="24"/>
          <w:szCs w:val="24"/>
        </w:rPr>
        <w:t>kapsamında destek verilen p</w:t>
      </w:r>
      <w:r w:rsidRPr="00A45ADC">
        <w:rPr>
          <w:rFonts w:ascii="Times New Roman" w:eastAsia="Times New Roman" w:hAnsi="Times New Roman" w:cs="Times New Roman"/>
          <w:color w:val="262626"/>
          <w:sz w:val="24"/>
          <w:szCs w:val="24"/>
          <w:lang w:eastAsia="tr-TR"/>
        </w:rPr>
        <w:t>rojelerin tamamlanmasından sonraki aşamada aşağıda yazılı hususlardan en az bir tanesi proje başlangıç tarihinden itibaren iki yıl içerisinde gerçekleştirilmelidir:</w:t>
      </w:r>
    </w:p>
    <w:p w:rsidR="00E52D95" w:rsidRPr="008C1632" w:rsidRDefault="00E52D95" w:rsidP="00E52D95">
      <w:pPr>
        <w:widowControl/>
        <w:numPr>
          <w:ilvl w:val="0"/>
          <w:numId w:val="18"/>
        </w:numPr>
        <w:shd w:val="clear" w:color="auto" w:fill="FFFFFF"/>
        <w:spacing w:before="100" w:beforeAutospacing="1" w:after="100" w:afterAutospacing="1"/>
        <w:jc w:val="both"/>
        <w:rPr>
          <w:rFonts w:ascii="Times New Roman" w:eastAsia="Times New Roman" w:hAnsi="Times New Roman" w:cs="Times New Roman"/>
          <w:color w:val="262626"/>
          <w:sz w:val="24"/>
          <w:szCs w:val="24"/>
          <w:lang w:eastAsia="tr-TR"/>
        </w:rPr>
      </w:pPr>
      <w:r w:rsidRPr="00607E7E">
        <w:rPr>
          <w:rFonts w:ascii="Times New Roman" w:eastAsia="Times New Roman" w:hAnsi="Times New Roman" w:cs="Times New Roman"/>
          <w:color w:val="363636"/>
          <w:sz w:val="24"/>
          <w:szCs w:val="24"/>
          <w:lang w:eastAsia="tr-TR"/>
        </w:rPr>
        <w:t xml:space="preserve">Proje </w:t>
      </w:r>
      <w:r w:rsidRPr="008C1632">
        <w:rPr>
          <w:rFonts w:ascii="Times New Roman" w:eastAsia="Times New Roman" w:hAnsi="Times New Roman" w:cs="Times New Roman"/>
          <w:color w:val="262626"/>
          <w:sz w:val="24"/>
          <w:szCs w:val="24"/>
          <w:lang w:eastAsia="tr-TR"/>
        </w:rPr>
        <w:t xml:space="preserve">sonucunda elde edilen çıktıların Web of </w:t>
      </w:r>
      <w:proofErr w:type="spellStart"/>
      <w:r w:rsidRPr="008C1632">
        <w:rPr>
          <w:rFonts w:ascii="Times New Roman" w:eastAsia="Times New Roman" w:hAnsi="Times New Roman" w:cs="Times New Roman"/>
          <w:color w:val="262626"/>
          <w:sz w:val="24"/>
          <w:szCs w:val="24"/>
          <w:lang w:eastAsia="tr-TR"/>
        </w:rPr>
        <w:t>Science</w:t>
      </w:r>
      <w:proofErr w:type="spellEnd"/>
      <w:r w:rsidRPr="008C1632">
        <w:rPr>
          <w:rFonts w:ascii="Times New Roman" w:eastAsia="Times New Roman" w:hAnsi="Times New Roman" w:cs="Times New Roman"/>
          <w:color w:val="262626"/>
          <w:sz w:val="24"/>
          <w:szCs w:val="24"/>
          <w:lang w:eastAsia="tr-TR"/>
        </w:rPr>
        <w:t xml:space="preserve"> kapsamındaki Q1 veya Q2 kategorilerinde yer alan dergilerde yayınlanması/yayınlanmak üzere kabul edilmesi,</w:t>
      </w:r>
    </w:p>
    <w:p w:rsidR="00E52D95" w:rsidRPr="008C1632" w:rsidRDefault="00E52D95" w:rsidP="00E52D95">
      <w:pPr>
        <w:widowControl/>
        <w:numPr>
          <w:ilvl w:val="0"/>
          <w:numId w:val="18"/>
        </w:numPr>
        <w:shd w:val="clear" w:color="auto" w:fill="FFFFFF"/>
        <w:spacing w:before="100" w:beforeAutospacing="1" w:after="100" w:afterAutospacing="1"/>
        <w:jc w:val="both"/>
        <w:rPr>
          <w:rFonts w:ascii="Times New Roman" w:eastAsia="Times New Roman" w:hAnsi="Times New Roman" w:cs="Times New Roman"/>
          <w:color w:val="262626"/>
          <w:sz w:val="24"/>
          <w:szCs w:val="24"/>
          <w:lang w:eastAsia="tr-TR"/>
        </w:rPr>
      </w:pPr>
      <w:r w:rsidRPr="008C1632">
        <w:rPr>
          <w:rFonts w:ascii="Times New Roman" w:eastAsia="Times New Roman" w:hAnsi="Times New Roman" w:cs="Times New Roman"/>
          <w:color w:val="262626"/>
          <w:sz w:val="24"/>
          <w:szCs w:val="24"/>
          <w:lang w:eastAsia="tr-TR"/>
        </w:rPr>
        <w:t>Proje kapsamında gerçekleştirilecek çalışmalar sonucunda buluş olması halinde patent başvurusu yapılması,</w:t>
      </w:r>
    </w:p>
    <w:p w:rsidR="00E52D95" w:rsidRPr="008C1632" w:rsidRDefault="00E52D95" w:rsidP="00E52D95">
      <w:pPr>
        <w:widowControl/>
        <w:numPr>
          <w:ilvl w:val="0"/>
          <w:numId w:val="18"/>
        </w:numPr>
        <w:shd w:val="clear" w:color="auto" w:fill="FFFFFF"/>
        <w:spacing w:before="100" w:beforeAutospacing="1" w:after="100" w:afterAutospacing="1"/>
        <w:jc w:val="both"/>
        <w:rPr>
          <w:rFonts w:ascii="Times New Roman" w:eastAsia="Times New Roman" w:hAnsi="Times New Roman" w:cs="Times New Roman"/>
          <w:color w:val="262626"/>
          <w:sz w:val="24"/>
          <w:szCs w:val="24"/>
          <w:lang w:eastAsia="tr-TR"/>
        </w:rPr>
      </w:pPr>
      <w:r w:rsidRPr="008C1632">
        <w:rPr>
          <w:rFonts w:ascii="Times New Roman" w:eastAsia="Times New Roman" w:hAnsi="Times New Roman" w:cs="Times New Roman"/>
          <w:color w:val="262626"/>
          <w:sz w:val="24"/>
          <w:szCs w:val="24"/>
          <w:lang w:eastAsia="tr-TR"/>
        </w:rPr>
        <w:lastRenderedPageBreak/>
        <w:t>Projenin yürütülmesi ve tamamlanması ile birlikte endüstriyel kuruluş ve kurumlar veya TÜBİTAK, Avrupa Birliği, HORIZON 2020 vb. ulusal ve uluslararası nitelikli kurum/organizasyonlardan proje konusu araştırmayı geliştirmeye yönelik dış destek alınması için başvuru yapılması</w:t>
      </w:r>
    </w:p>
    <w:p w:rsidR="00E52D95" w:rsidRPr="00607E7E" w:rsidRDefault="00E52D95" w:rsidP="00E52D95">
      <w:pPr>
        <w:shd w:val="clear" w:color="auto" w:fill="FFFFFF"/>
        <w:spacing w:after="150"/>
        <w:jc w:val="both"/>
        <w:rPr>
          <w:rFonts w:ascii="Times New Roman" w:eastAsia="Times New Roman" w:hAnsi="Times New Roman" w:cs="Times New Roman"/>
          <w:color w:val="262626"/>
          <w:sz w:val="24"/>
          <w:szCs w:val="24"/>
          <w:lang w:eastAsia="tr-TR"/>
        </w:rPr>
      </w:pPr>
      <w:r w:rsidRPr="00607E7E">
        <w:rPr>
          <w:rFonts w:ascii="Times New Roman" w:eastAsia="Times New Roman" w:hAnsi="Times New Roman" w:cs="Times New Roman"/>
          <w:color w:val="262626"/>
          <w:sz w:val="24"/>
          <w:szCs w:val="24"/>
          <w:lang w:eastAsia="tr-TR"/>
        </w:rPr>
        <w:t xml:space="preserve">Proje bitiminden sonra bu koşullarının gerçekleşme durumu ARGEDA-TTO Direktörlüğü tarafından izlenmektedir. </w:t>
      </w:r>
    </w:p>
    <w:p w:rsidR="00607E7E" w:rsidRDefault="00607E7E" w:rsidP="00607E7E">
      <w:r>
        <w:rPr>
          <w:rFonts w:ascii="Times New Roman" w:hAnsi="Times New Roman" w:cs="Times New Roman"/>
          <w:sz w:val="24"/>
          <w:szCs w:val="24"/>
        </w:rPr>
        <w:t>Üniversitenin</w:t>
      </w:r>
      <w:r w:rsidRPr="00F04BBF">
        <w:rPr>
          <w:rFonts w:ascii="Times New Roman" w:hAnsi="Times New Roman" w:cs="Times New Roman"/>
          <w:sz w:val="24"/>
          <w:szCs w:val="24"/>
        </w:rPr>
        <w:t xml:space="preserve"> araştırma performansına ve çıktılarına ilişkin bilgiler dönemsel olarak </w:t>
      </w:r>
      <w:r>
        <w:rPr>
          <w:rFonts w:ascii="Times New Roman" w:hAnsi="Times New Roman" w:cs="Times New Roman"/>
          <w:sz w:val="24"/>
          <w:szCs w:val="24"/>
        </w:rPr>
        <w:t xml:space="preserve">(Nisan 2019 tarihli) </w:t>
      </w:r>
      <w:r w:rsidRPr="00F04BBF">
        <w:rPr>
          <w:rFonts w:ascii="Times New Roman" w:hAnsi="Times New Roman" w:cs="Times New Roman"/>
          <w:sz w:val="24"/>
          <w:szCs w:val="24"/>
        </w:rPr>
        <w:t xml:space="preserve">hazırlanan </w:t>
      </w:r>
      <w:hyperlink r:id="rId32" w:history="1">
        <w:r w:rsidRPr="006E3944">
          <w:rPr>
            <w:rStyle w:val="Kpr"/>
            <w:rFonts w:ascii="Times New Roman" w:hAnsi="Times New Roman" w:cs="Times New Roman"/>
            <w:sz w:val="24"/>
            <w:szCs w:val="24"/>
          </w:rPr>
          <w:t>Araştırma Kitapçığı</w:t>
        </w:r>
      </w:hyperlink>
      <w:r w:rsidRPr="00F04BBF">
        <w:rPr>
          <w:rFonts w:ascii="Times New Roman" w:hAnsi="Times New Roman" w:cs="Times New Roman"/>
          <w:sz w:val="24"/>
          <w:szCs w:val="24"/>
        </w:rPr>
        <w:t xml:space="preserve"> ile Atılım Üniversitesi internet sitesi üzerinden paydaşların bilgisine sunulmaktadır.</w:t>
      </w:r>
      <w:r>
        <w:t xml:space="preserve"> </w:t>
      </w:r>
    </w:p>
    <w:p w:rsidR="00D01FA7" w:rsidRDefault="00D01FA7" w:rsidP="001B5E39">
      <w:pPr>
        <w:widowControl/>
        <w:spacing w:after="160" w:line="259" w:lineRule="auto"/>
        <w:jc w:val="both"/>
        <w:rPr>
          <w:rFonts w:ascii="Times New Roman" w:eastAsia="Calibri" w:hAnsi="Times New Roman" w:cs="Times New Roman"/>
          <w:sz w:val="24"/>
        </w:rPr>
      </w:pPr>
    </w:p>
    <w:p w:rsidR="003069A5" w:rsidRDefault="003069A5" w:rsidP="003069A5">
      <w:pPr>
        <w:widowControl/>
        <w:spacing w:after="60" w:line="259" w:lineRule="auto"/>
        <w:jc w:val="both"/>
        <w:rPr>
          <w:rFonts w:ascii="Times New Roman" w:eastAsia="Calibri" w:hAnsi="Times New Roman" w:cs="Times New Roman"/>
          <w:sz w:val="24"/>
        </w:rPr>
      </w:pPr>
      <w:r w:rsidRPr="006217C4">
        <w:rPr>
          <w:rFonts w:ascii="Times New Roman" w:eastAsia="Calibri" w:hAnsi="Times New Roman" w:cs="Times New Roman"/>
          <w:sz w:val="24"/>
        </w:rPr>
        <w:t>Bu alan dâhilindeki akademik ve idari göstergeler, çalışmalar ve çıktılara ör</w:t>
      </w:r>
      <w:r>
        <w:rPr>
          <w:rFonts w:ascii="Times New Roman" w:eastAsia="Calibri" w:hAnsi="Times New Roman" w:cs="Times New Roman"/>
          <w:sz w:val="24"/>
        </w:rPr>
        <w:t>neklem niteliğinde olmak üzere</w:t>
      </w:r>
      <w:r w:rsidRPr="006217C4">
        <w:rPr>
          <w:rFonts w:ascii="Times New Roman" w:eastAsia="Calibri" w:hAnsi="Times New Roman" w:cs="Times New Roman"/>
          <w:sz w:val="24"/>
        </w:rPr>
        <w:t xml:space="preserve">, </w:t>
      </w:r>
      <w:hyperlink r:id="rId33" w:history="1">
        <w:r w:rsidRPr="006217C4">
          <w:rPr>
            <w:rStyle w:val="Kpr"/>
            <w:rFonts w:ascii="Times New Roman" w:eastAsia="Calibri" w:hAnsi="Times New Roman" w:cs="Times New Roman"/>
            <w:sz w:val="24"/>
          </w:rPr>
          <w:t xml:space="preserve">detay kanıt kütüphanesi için </w:t>
        </w:r>
        <w:proofErr w:type="spellStart"/>
        <w:r w:rsidRPr="006217C4">
          <w:rPr>
            <w:rStyle w:val="Kpr"/>
            <w:rFonts w:ascii="Times New Roman" w:eastAsia="Calibri" w:hAnsi="Times New Roman" w:cs="Times New Roman"/>
            <w:sz w:val="24"/>
          </w:rPr>
          <w:t>link’e</w:t>
        </w:r>
        <w:proofErr w:type="spellEnd"/>
        <w:r w:rsidRPr="006217C4">
          <w:rPr>
            <w:rStyle w:val="Kpr"/>
            <w:rFonts w:ascii="Times New Roman" w:eastAsia="Calibri" w:hAnsi="Times New Roman" w:cs="Times New Roman"/>
            <w:sz w:val="24"/>
          </w:rPr>
          <w:t xml:space="preserve"> tıklayabilirsiniz</w:t>
        </w:r>
      </w:hyperlink>
      <w:r>
        <w:rPr>
          <w:rFonts w:ascii="Times New Roman" w:eastAsia="Calibri" w:hAnsi="Times New Roman" w:cs="Times New Roman"/>
          <w:sz w:val="24"/>
        </w:rPr>
        <w:t>.</w:t>
      </w:r>
    </w:p>
    <w:p w:rsidR="003069A5" w:rsidRPr="001B5E39" w:rsidRDefault="003069A5" w:rsidP="001B5E39">
      <w:pPr>
        <w:widowControl/>
        <w:spacing w:after="160" w:line="259" w:lineRule="auto"/>
        <w:jc w:val="both"/>
        <w:rPr>
          <w:rFonts w:ascii="Times New Roman" w:eastAsia="Calibri" w:hAnsi="Times New Roman" w:cs="Times New Roman"/>
          <w:sz w:val="24"/>
        </w:rPr>
      </w:pPr>
    </w:p>
    <w:sectPr w:rsidR="003069A5" w:rsidRPr="001B5E39">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3CA" w:rsidRDefault="005F03CA" w:rsidP="00355156">
      <w:r>
        <w:separator/>
      </w:r>
    </w:p>
  </w:endnote>
  <w:endnote w:type="continuationSeparator" w:id="0">
    <w:p w:rsidR="005F03CA" w:rsidRDefault="005F03CA" w:rsidP="00355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87219"/>
      <w:docPartObj>
        <w:docPartGallery w:val="Page Numbers (Bottom of Page)"/>
        <w:docPartUnique/>
      </w:docPartObj>
    </w:sdtPr>
    <w:sdtEndPr/>
    <w:sdtContent>
      <w:p w:rsidR="00355156" w:rsidRDefault="00355156">
        <w:pPr>
          <w:pStyle w:val="AltBilgi"/>
          <w:jc w:val="center"/>
        </w:pPr>
        <w:r>
          <w:rPr>
            <w:noProof/>
            <w:lang w:eastAsia="tr-TR"/>
          </w:rPr>
          <mc:AlternateContent>
            <mc:Choice Requires="wps">
              <w:drawing>
                <wp:inline distT="0" distB="0" distL="0" distR="0">
                  <wp:extent cx="5467350" cy="45085"/>
                  <wp:effectExtent l="9525" t="9525" r="0" b="2540"/>
                  <wp:docPr id="2" name="Akış Çizelgesi: Karar 2"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AAC205D" id="_x0000_t110" coordsize="21600,21600" o:spt="110" path="m10800,l,10800,10800,21600,21600,10800xe">
                  <v:stroke joinstyle="miter"/>
                  <v:path gradientshapeok="t" o:connecttype="rect" textboxrect="5400,5400,16200,16200"/>
                </v:shapetype>
                <v:shape id="Akış Çizelgesi: Karar 2"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" fillcolor="black" stroked="f">
                  <v:fill r:id="rId1" o:title="" type="pattern"/>
                  <w10:anchorlock/>
                </v:shape>
              </w:pict>
            </mc:Fallback>
          </mc:AlternateContent>
        </w:r>
      </w:p>
      <w:p w:rsidR="00355156" w:rsidRDefault="00355156">
        <w:pPr>
          <w:pStyle w:val="AltBilgi"/>
          <w:jc w:val="center"/>
        </w:pPr>
        <w:r>
          <w:fldChar w:fldCharType="begin"/>
        </w:r>
        <w:r>
          <w:instrText>PAGE    \* MERGEFORMAT</w:instrText>
        </w:r>
        <w:r>
          <w:fldChar w:fldCharType="separate"/>
        </w:r>
        <w:r w:rsidR="00681C7D">
          <w:rPr>
            <w:noProof/>
          </w:rPr>
          <w:t>10</w:t>
        </w:r>
        <w:r>
          <w:fldChar w:fldCharType="end"/>
        </w:r>
      </w:p>
    </w:sdtContent>
  </w:sdt>
  <w:p w:rsidR="00355156" w:rsidRDefault="0035515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3CA" w:rsidRDefault="005F03CA" w:rsidP="00355156">
      <w:r>
        <w:separator/>
      </w:r>
    </w:p>
  </w:footnote>
  <w:footnote w:type="continuationSeparator" w:id="0">
    <w:p w:rsidR="005F03CA" w:rsidRDefault="005F03CA" w:rsidP="003551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E29F6"/>
    <w:multiLevelType w:val="hybridMultilevel"/>
    <w:tmpl w:val="E3F275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F8570F"/>
    <w:multiLevelType w:val="hybridMultilevel"/>
    <w:tmpl w:val="2D7A21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350856"/>
    <w:multiLevelType w:val="multilevel"/>
    <w:tmpl w:val="EE46A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03C26"/>
    <w:multiLevelType w:val="multilevel"/>
    <w:tmpl w:val="91F02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F189A"/>
    <w:multiLevelType w:val="multilevel"/>
    <w:tmpl w:val="08B68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7017F9"/>
    <w:multiLevelType w:val="hybridMultilevel"/>
    <w:tmpl w:val="A95A8F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4DE6635"/>
    <w:multiLevelType w:val="hybridMultilevel"/>
    <w:tmpl w:val="C5E6BC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C891B8C"/>
    <w:multiLevelType w:val="hybridMultilevel"/>
    <w:tmpl w:val="11FC5DB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3D453839"/>
    <w:multiLevelType w:val="hybridMultilevel"/>
    <w:tmpl w:val="203272B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4D2E14E8"/>
    <w:multiLevelType w:val="multilevel"/>
    <w:tmpl w:val="6BA62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2F4766"/>
    <w:multiLevelType w:val="multilevel"/>
    <w:tmpl w:val="8CEA72F6"/>
    <w:lvl w:ilvl="0">
      <w:start w:val="1"/>
      <w:numFmt w:val="decimal"/>
      <w:lvlText w:val="%1."/>
      <w:lvlJc w:val="left"/>
      <w:pPr>
        <w:ind w:left="360" w:hanging="360"/>
      </w:pPr>
    </w:lvl>
    <w:lvl w:ilvl="1">
      <w:start w:val="1"/>
      <w:numFmt w:val="decimal"/>
      <w:pStyle w:val="Balk2"/>
      <w:lvlText w:val="%1.%2."/>
      <w:lvlJc w:val="left"/>
      <w:pPr>
        <w:ind w:left="792" w:hanging="432"/>
      </w:pPr>
      <w:rPr>
        <w:b/>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3995337"/>
    <w:multiLevelType w:val="multilevel"/>
    <w:tmpl w:val="73D2D8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23221"/>
    <w:multiLevelType w:val="hybridMultilevel"/>
    <w:tmpl w:val="B47A23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D8017D3"/>
    <w:multiLevelType w:val="hybridMultilevel"/>
    <w:tmpl w:val="4528A4B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71B61594"/>
    <w:multiLevelType w:val="multilevel"/>
    <w:tmpl w:val="E8D03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C23DA6"/>
    <w:multiLevelType w:val="hybridMultilevel"/>
    <w:tmpl w:val="794494E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2C66ABF"/>
    <w:multiLevelType w:val="hybridMultilevel"/>
    <w:tmpl w:val="BBB6E54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79FD2535"/>
    <w:multiLevelType w:val="hybridMultilevel"/>
    <w:tmpl w:val="2C762D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8"/>
  </w:num>
  <w:num w:numId="4">
    <w:abstractNumId w:val="7"/>
  </w:num>
  <w:num w:numId="5">
    <w:abstractNumId w:val="17"/>
  </w:num>
  <w:num w:numId="6">
    <w:abstractNumId w:val="13"/>
  </w:num>
  <w:num w:numId="7">
    <w:abstractNumId w:val="15"/>
  </w:num>
  <w:num w:numId="8">
    <w:abstractNumId w:val="6"/>
  </w:num>
  <w:num w:numId="9">
    <w:abstractNumId w:val="12"/>
  </w:num>
  <w:num w:numId="10">
    <w:abstractNumId w:val="5"/>
  </w:num>
  <w:num w:numId="11">
    <w:abstractNumId w:val="1"/>
  </w:num>
  <w:num w:numId="12">
    <w:abstractNumId w:val="2"/>
  </w:num>
  <w:num w:numId="13">
    <w:abstractNumId w:val="11"/>
  </w:num>
  <w:num w:numId="14">
    <w:abstractNumId w:val="9"/>
  </w:num>
  <w:num w:numId="15">
    <w:abstractNumId w:val="14"/>
  </w:num>
  <w:num w:numId="16">
    <w:abstractNumId w:val="3"/>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A7"/>
    <w:rsid w:val="00005702"/>
    <w:rsid w:val="00015F3A"/>
    <w:rsid w:val="00017DF8"/>
    <w:rsid w:val="0006618A"/>
    <w:rsid w:val="00066C52"/>
    <w:rsid w:val="00066F7E"/>
    <w:rsid w:val="000B7E6E"/>
    <w:rsid w:val="00116983"/>
    <w:rsid w:val="001404EA"/>
    <w:rsid w:val="00141136"/>
    <w:rsid w:val="001679AF"/>
    <w:rsid w:val="00192C44"/>
    <w:rsid w:val="001B5E39"/>
    <w:rsid w:val="001B64EB"/>
    <w:rsid w:val="001C1B98"/>
    <w:rsid w:val="001C2A91"/>
    <w:rsid w:val="001C70E0"/>
    <w:rsid w:val="001E1B5D"/>
    <w:rsid w:val="001E305C"/>
    <w:rsid w:val="00223BF8"/>
    <w:rsid w:val="002301B5"/>
    <w:rsid w:val="0024235E"/>
    <w:rsid w:val="00256A5B"/>
    <w:rsid w:val="002768C6"/>
    <w:rsid w:val="00297367"/>
    <w:rsid w:val="00304EBA"/>
    <w:rsid w:val="003069A5"/>
    <w:rsid w:val="00320EA6"/>
    <w:rsid w:val="00355156"/>
    <w:rsid w:val="003559A9"/>
    <w:rsid w:val="00366C07"/>
    <w:rsid w:val="00371665"/>
    <w:rsid w:val="00393C3F"/>
    <w:rsid w:val="00395662"/>
    <w:rsid w:val="00397946"/>
    <w:rsid w:val="003B155E"/>
    <w:rsid w:val="003C08F9"/>
    <w:rsid w:val="003C0960"/>
    <w:rsid w:val="003C7EB9"/>
    <w:rsid w:val="003E56A3"/>
    <w:rsid w:val="003F519C"/>
    <w:rsid w:val="00421D5C"/>
    <w:rsid w:val="00422F9D"/>
    <w:rsid w:val="0045024B"/>
    <w:rsid w:val="0048497E"/>
    <w:rsid w:val="00484B4B"/>
    <w:rsid w:val="004852E9"/>
    <w:rsid w:val="004A21E8"/>
    <w:rsid w:val="004B1A45"/>
    <w:rsid w:val="004B7D91"/>
    <w:rsid w:val="004C544D"/>
    <w:rsid w:val="004F00B5"/>
    <w:rsid w:val="00540B41"/>
    <w:rsid w:val="00564EC5"/>
    <w:rsid w:val="00576AC1"/>
    <w:rsid w:val="005831A3"/>
    <w:rsid w:val="005957C6"/>
    <w:rsid w:val="005B2ADD"/>
    <w:rsid w:val="005C0D44"/>
    <w:rsid w:val="005C41C4"/>
    <w:rsid w:val="005D33C3"/>
    <w:rsid w:val="005F03CA"/>
    <w:rsid w:val="00605D66"/>
    <w:rsid w:val="00607E7E"/>
    <w:rsid w:val="0063764C"/>
    <w:rsid w:val="00644072"/>
    <w:rsid w:val="0067327C"/>
    <w:rsid w:val="00681C7D"/>
    <w:rsid w:val="00693B29"/>
    <w:rsid w:val="006B2D47"/>
    <w:rsid w:val="006D7FD5"/>
    <w:rsid w:val="006E3944"/>
    <w:rsid w:val="0072589B"/>
    <w:rsid w:val="00726541"/>
    <w:rsid w:val="00767F19"/>
    <w:rsid w:val="00770763"/>
    <w:rsid w:val="0079109A"/>
    <w:rsid w:val="00797383"/>
    <w:rsid w:val="007A1F08"/>
    <w:rsid w:val="007C2316"/>
    <w:rsid w:val="007D71AB"/>
    <w:rsid w:val="007F29AD"/>
    <w:rsid w:val="0081686D"/>
    <w:rsid w:val="00844889"/>
    <w:rsid w:val="00847898"/>
    <w:rsid w:val="00850C0D"/>
    <w:rsid w:val="0088057C"/>
    <w:rsid w:val="00894B6D"/>
    <w:rsid w:val="008A5FB9"/>
    <w:rsid w:val="008A6BC8"/>
    <w:rsid w:val="008B27C3"/>
    <w:rsid w:val="008B6924"/>
    <w:rsid w:val="008C1632"/>
    <w:rsid w:val="008C216E"/>
    <w:rsid w:val="008D1E7F"/>
    <w:rsid w:val="008D5D14"/>
    <w:rsid w:val="008E724B"/>
    <w:rsid w:val="008F1529"/>
    <w:rsid w:val="00943C28"/>
    <w:rsid w:val="00977688"/>
    <w:rsid w:val="0099226C"/>
    <w:rsid w:val="00997DF4"/>
    <w:rsid w:val="009B1A24"/>
    <w:rsid w:val="009B5C8C"/>
    <w:rsid w:val="009D69EA"/>
    <w:rsid w:val="00A45ADC"/>
    <w:rsid w:val="00A61D45"/>
    <w:rsid w:val="00A82117"/>
    <w:rsid w:val="00A84E0B"/>
    <w:rsid w:val="00AA0AF1"/>
    <w:rsid w:val="00AA20C7"/>
    <w:rsid w:val="00AD4B04"/>
    <w:rsid w:val="00B01600"/>
    <w:rsid w:val="00B024C9"/>
    <w:rsid w:val="00B64B23"/>
    <w:rsid w:val="00B7729C"/>
    <w:rsid w:val="00B81079"/>
    <w:rsid w:val="00B87868"/>
    <w:rsid w:val="00BB004A"/>
    <w:rsid w:val="00BB3BE5"/>
    <w:rsid w:val="00BC6CBD"/>
    <w:rsid w:val="00BF094A"/>
    <w:rsid w:val="00C13AF4"/>
    <w:rsid w:val="00C22DB8"/>
    <w:rsid w:val="00C317C5"/>
    <w:rsid w:val="00C95846"/>
    <w:rsid w:val="00CA65D0"/>
    <w:rsid w:val="00CB253A"/>
    <w:rsid w:val="00CD62CC"/>
    <w:rsid w:val="00CD658F"/>
    <w:rsid w:val="00CE4FB5"/>
    <w:rsid w:val="00CF1DAA"/>
    <w:rsid w:val="00D01FA7"/>
    <w:rsid w:val="00D06F72"/>
    <w:rsid w:val="00D144A8"/>
    <w:rsid w:val="00D371DC"/>
    <w:rsid w:val="00D508DC"/>
    <w:rsid w:val="00D53C20"/>
    <w:rsid w:val="00D64F92"/>
    <w:rsid w:val="00D7184D"/>
    <w:rsid w:val="00D746EA"/>
    <w:rsid w:val="00D82A86"/>
    <w:rsid w:val="00D84845"/>
    <w:rsid w:val="00D8549C"/>
    <w:rsid w:val="00DB355F"/>
    <w:rsid w:val="00DB4A82"/>
    <w:rsid w:val="00DB51E0"/>
    <w:rsid w:val="00DC5C9D"/>
    <w:rsid w:val="00DD4C5D"/>
    <w:rsid w:val="00DE3A54"/>
    <w:rsid w:val="00DF1878"/>
    <w:rsid w:val="00E41CFC"/>
    <w:rsid w:val="00E52D95"/>
    <w:rsid w:val="00E56B41"/>
    <w:rsid w:val="00E6380D"/>
    <w:rsid w:val="00E65335"/>
    <w:rsid w:val="00E74102"/>
    <w:rsid w:val="00E767C6"/>
    <w:rsid w:val="00E91D97"/>
    <w:rsid w:val="00EB21E5"/>
    <w:rsid w:val="00EB4071"/>
    <w:rsid w:val="00ED455E"/>
    <w:rsid w:val="00EE3B57"/>
    <w:rsid w:val="00F10519"/>
    <w:rsid w:val="00F22BFF"/>
    <w:rsid w:val="00F326AE"/>
    <w:rsid w:val="00F36572"/>
    <w:rsid w:val="00F4249A"/>
    <w:rsid w:val="00FC3666"/>
    <w:rsid w:val="00FE4779"/>
    <w:rsid w:val="00FE66D5"/>
    <w:rsid w:val="00FF78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89F0B"/>
  <w15:chartTrackingRefBased/>
  <w15:docId w15:val="{07C23C23-0CEB-43E7-A7D1-039ADEDB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01FA7"/>
    <w:pPr>
      <w:widowControl w:val="0"/>
      <w:spacing w:after="0" w:line="240" w:lineRule="auto"/>
    </w:pPr>
  </w:style>
  <w:style w:type="paragraph" w:styleId="Balk1">
    <w:name w:val="heading 1"/>
    <w:basedOn w:val="Normal"/>
    <w:link w:val="Balk1Char"/>
    <w:uiPriority w:val="1"/>
    <w:qFormat/>
    <w:rsid w:val="00D01FA7"/>
    <w:pPr>
      <w:spacing w:before="120" w:after="120"/>
      <w:ind w:left="567" w:right="40" w:hanging="567"/>
      <w:jc w:val="both"/>
      <w:outlineLvl w:val="0"/>
    </w:pPr>
    <w:rPr>
      <w:rFonts w:ascii="Times New Roman" w:eastAsia="Times New Roman" w:hAnsi="Times New Roman" w:cs="Times New Roman"/>
      <w:b/>
      <w:bCs/>
      <w:sz w:val="32"/>
      <w:szCs w:val="32"/>
    </w:rPr>
  </w:style>
  <w:style w:type="paragraph" w:styleId="Balk2">
    <w:name w:val="heading 2"/>
    <w:basedOn w:val="ListeParagraf"/>
    <w:link w:val="Balk2Char"/>
    <w:autoRedefine/>
    <w:uiPriority w:val="1"/>
    <w:qFormat/>
    <w:rsid w:val="00D01FA7"/>
    <w:pPr>
      <w:widowControl/>
      <w:numPr>
        <w:ilvl w:val="1"/>
        <w:numId w:val="1"/>
      </w:numPr>
      <w:spacing w:before="240" w:after="240"/>
      <w:ind w:left="709" w:hanging="709"/>
      <w:jc w:val="both"/>
      <w:outlineLvl w:val="1"/>
    </w:pPr>
    <w:rPr>
      <w:rFonts w:ascii="Arial" w:eastAsia="Calibri" w:hAnsi="Arial" w:cs="Arial"/>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D01FA7"/>
    <w:rPr>
      <w:rFonts w:ascii="Times New Roman" w:eastAsia="Times New Roman" w:hAnsi="Times New Roman" w:cs="Times New Roman"/>
      <w:b/>
      <w:bCs/>
      <w:sz w:val="32"/>
      <w:szCs w:val="32"/>
    </w:rPr>
  </w:style>
  <w:style w:type="character" w:customStyle="1" w:styleId="Balk2Char">
    <w:name w:val="Başlık 2 Char"/>
    <w:basedOn w:val="VarsaylanParagrafYazTipi"/>
    <w:link w:val="Balk2"/>
    <w:uiPriority w:val="1"/>
    <w:rsid w:val="00D01FA7"/>
    <w:rPr>
      <w:rFonts w:ascii="Arial" w:eastAsia="Calibri" w:hAnsi="Arial" w:cs="Arial"/>
      <w:b/>
      <w:sz w:val="26"/>
      <w:szCs w:val="26"/>
    </w:rPr>
  </w:style>
  <w:style w:type="paragraph" w:styleId="GvdeMetni">
    <w:name w:val="Body Text"/>
    <w:basedOn w:val="Normal"/>
    <w:link w:val="GvdeMetniChar"/>
    <w:uiPriority w:val="1"/>
    <w:qFormat/>
    <w:rsid w:val="00D01FA7"/>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D01FA7"/>
    <w:rPr>
      <w:rFonts w:ascii="Times New Roman" w:eastAsia="Times New Roman" w:hAnsi="Times New Roman"/>
      <w:sz w:val="24"/>
      <w:szCs w:val="24"/>
    </w:rPr>
  </w:style>
  <w:style w:type="paragraph" w:styleId="ListeParagraf">
    <w:name w:val="List Paragraph"/>
    <w:basedOn w:val="Normal"/>
    <w:uiPriority w:val="34"/>
    <w:qFormat/>
    <w:rsid w:val="00D01FA7"/>
  </w:style>
  <w:style w:type="character" w:styleId="Kpr">
    <w:name w:val="Hyperlink"/>
    <w:basedOn w:val="VarsaylanParagrafYazTipi"/>
    <w:uiPriority w:val="99"/>
    <w:unhideWhenUsed/>
    <w:rsid w:val="00D01FA7"/>
    <w:rPr>
      <w:color w:val="0563C1" w:themeColor="hyperlink"/>
      <w:u w:val="single"/>
    </w:rPr>
  </w:style>
  <w:style w:type="character" w:styleId="zlenenKpr">
    <w:name w:val="FollowedHyperlink"/>
    <w:basedOn w:val="VarsaylanParagrafYazTipi"/>
    <w:uiPriority w:val="99"/>
    <w:semiHidden/>
    <w:unhideWhenUsed/>
    <w:rsid w:val="00844889"/>
    <w:rPr>
      <w:color w:val="954F72" w:themeColor="followedHyperlink"/>
      <w:u w:val="single"/>
    </w:rPr>
  </w:style>
  <w:style w:type="character" w:styleId="Gl">
    <w:name w:val="Strong"/>
    <w:basedOn w:val="VarsaylanParagrafYazTipi"/>
    <w:uiPriority w:val="22"/>
    <w:qFormat/>
    <w:rsid w:val="00ED455E"/>
    <w:rPr>
      <w:b/>
      <w:bCs/>
    </w:rPr>
  </w:style>
  <w:style w:type="character" w:styleId="Vurgu">
    <w:name w:val="Emphasis"/>
    <w:basedOn w:val="VarsaylanParagrafYazTipi"/>
    <w:uiPriority w:val="20"/>
    <w:qFormat/>
    <w:rsid w:val="00ED455E"/>
    <w:rPr>
      <w:i/>
      <w:iCs/>
    </w:rPr>
  </w:style>
  <w:style w:type="character" w:styleId="AklamaBavurusu">
    <w:name w:val="annotation reference"/>
    <w:basedOn w:val="VarsaylanParagrafYazTipi"/>
    <w:uiPriority w:val="99"/>
    <w:semiHidden/>
    <w:unhideWhenUsed/>
    <w:rsid w:val="006E3944"/>
    <w:rPr>
      <w:sz w:val="16"/>
      <w:szCs w:val="16"/>
    </w:rPr>
  </w:style>
  <w:style w:type="paragraph" w:styleId="AklamaMetni">
    <w:name w:val="annotation text"/>
    <w:basedOn w:val="Normal"/>
    <w:link w:val="AklamaMetniChar"/>
    <w:uiPriority w:val="99"/>
    <w:semiHidden/>
    <w:unhideWhenUsed/>
    <w:rsid w:val="006E3944"/>
    <w:rPr>
      <w:sz w:val="20"/>
      <w:szCs w:val="20"/>
    </w:rPr>
  </w:style>
  <w:style w:type="character" w:customStyle="1" w:styleId="AklamaMetniChar">
    <w:name w:val="Açıklama Metni Char"/>
    <w:basedOn w:val="VarsaylanParagrafYazTipi"/>
    <w:link w:val="AklamaMetni"/>
    <w:uiPriority w:val="99"/>
    <w:semiHidden/>
    <w:rsid w:val="006E3944"/>
    <w:rPr>
      <w:sz w:val="20"/>
      <w:szCs w:val="20"/>
    </w:rPr>
  </w:style>
  <w:style w:type="paragraph" w:styleId="AklamaKonusu">
    <w:name w:val="annotation subject"/>
    <w:basedOn w:val="AklamaMetni"/>
    <w:next w:val="AklamaMetni"/>
    <w:link w:val="AklamaKonusuChar"/>
    <w:uiPriority w:val="99"/>
    <w:semiHidden/>
    <w:unhideWhenUsed/>
    <w:rsid w:val="006E3944"/>
    <w:rPr>
      <w:b/>
      <w:bCs/>
    </w:rPr>
  </w:style>
  <w:style w:type="character" w:customStyle="1" w:styleId="AklamaKonusuChar">
    <w:name w:val="Açıklama Konusu Char"/>
    <w:basedOn w:val="AklamaMetniChar"/>
    <w:link w:val="AklamaKonusu"/>
    <w:uiPriority w:val="99"/>
    <w:semiHidden/>
    <w:rsid w:val="006E3944"/>
    <w:rPr>
      <w:b/>
      <w:bCs/>
      <w:sz w:val="20"/>
      <w:szCs w:val="20"/>
    </w:rPr>
  </w:style>
  <w:style w:type="paragraph" w:styleId="BalonMetni">
    <w:name w:val="Balloon Text"/>
    <w:basedOn w:val="Normal"/>
    <w:link w:val="BalonMetniChar"/>
    <w:uiPriority w:val="99"/>
    <w:semiHidden/>
    <w:unhideWhenUsed/>
    <w:rsid w:val="006E394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E3944"/>
    <w:rPr>
      <w:rFonts w:ascii="Segoe UI" w:hAnsi="Segoe UI" w:cs="Segoe UI"/>
      <w:sz w:val="18"/>
      <w:szCs w:val="18"/>
    </w:rPr>
  </w:style>
  <w:style w:type="paragraph" w:styleId="stBilgi">
    <w:name w:val="header"/>
    <w:basedOn w:val="Normal"/>
    <w:link w:val="stBilgiChar"/>
    <w:uiPriority w:val="99"/>
    <w:unhideWhenUsed/>
    <w:rsid w:val="00355156"/>
    <w:pPr>
      <w:tabs>
        <w:tab w:val="center" w:pos="4536"/>
        <w:tab w:val="right" w:pos="9072"/>
      </w:tabs>
    </w:pPr>
  </w:style>
  <w:style w:type="character" w:customStyle="1" w:styleId="stBilgiChar">
    <w:name w:val="Üst Bilgi Char"/>
    <w:basedOn w:val="VarsaylanParagrafYazTipi"/>
    <w:link w:val="stBilgi"/>
    <w:uiPriority w:val="99"/>
    <w:rsid w:val="00355156"/>
  </w:style>
  <w:style w:type="paragraph" w:styleId="AltBilgi">
    <w:name w:val="footer"/>
    <w:basedOn w:val="Normal"/>
    <w:link w:val="AltBilgiChar"/>
    <w:uiPriority w:val="99"/>
    <w:unhideWhenUsed/>
    <w:rsid w:val="00355156"/>
    <w:pPr>
      <w:tabs>
        <w:tab w:val="center" w:pos="4536"/>
        <w:tab w:val="right" w:pos="9072"/>
      </w:tabs>
    </w:pPr>
  </w:style>
  <w:style w:type="character" w:customStyle="1" w:styleId="AltBilgiChar">
    <w:name w:val="Alt Bilgi Char"/>
    <w:basedOn w:val="VarsaylanParagrafYazTipi"/>
    <w:link w:val="AltBilgi"/>
    <w:uiPriority w:val="99"/>
    <w:rsid w:val="00355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www.atilim.edu.tr/tr/argeda/page/943/ic-destek-programlari" TargetMode="External"/><Relationship Id="rId26" Type="http://schemas.openxmlformats.org/officeDocument/2006/relationships/hyperlink" Target="https://www.atilim.edu.tr/files/yonergeler/Atama-Y%C3%BCkseltme%20Senato%2011%20Ocak%202018%20%28SON%29%283%29.pdf" TargetMode="External"/><Relationship Id="rId3" Type="http://schemas.openxmlformats.org/officeDocument/2006/relationships/settings" Target="settings.xml"/><Relationship Id="rId21" Type="http://schemas.openxmlformats.org/officeDocument/2006/relationships/hyperlink" Target="https://www.atilim.edu.tr/tr/argeda-teknoloji-transfer-ofisi-direktorlugu/news/4175/tubitak-bideb-2237-b-ulusal-ve-uluslararasi-proje-yazim-egitimi-etkinligi-duzenlendi" TargetMode="External"/><Relationship Id="rId34" Type="http://schemas.openxmlformats.org/officeDocument/2006/relationships/footer" Target="footer1.xml"/><Relationship Id="rId7" Type="http://schemas.openxmlformats.org/officeDocument/2006/relationships/hyperlink" Target="https://www.atilim.edu.tr/uploads/pages/stratejik-plan-1517410923/1556802554-Atilim%20Universitesi%20Stratejik%20Plan%202015-2019.pdf" TargetMode="External"/><Relationship Id="rId12" Type="http://schemas.openxmlformats.org/officeDocument/2006/relationships/hyperlink" Target="https://www.atilim.edu.tr/files/yonergeler/At&#305;l&#305;m%20&#220;niversitesi%20Bilimsel%20Yay&#305;n%20&#220;st&#252;n%20Ba&#351;ar&#305;%20&#214;d&#252;lleri%20Uygulama%20Y&#246;nergesi(1).pdf" TargetMode="External"/><Relationship Id="rId17" Type="http://schemas.openxmlformats.org/officeDocument/2006/relationships/hyperlink" Target="https://atilim-my.sharepoint.com/:f:/g/personal/kidr_atilim_edu_tr/Er1U6Wcs59xEtAdzP-TsL4EB4fFIt9BVYeNBFLOTDxMq-Q?e=XJ4Mtw" TargetMode="External"/><Relationship Id="rId25" Type="http://schemas.openxmlformats.org/officeDocument/2006/relationships/hyperlink" Target="https://atilim-my.sharepoint.com/:f:/g/personal/kidr_atilim_edu_tr/Er1U6Wcs59xEtAdzP-TsL4EB4fFIt9BVYeNBFLOTDxMq-Q?e=XJ4Mtw" TargetMode="External"/><Relationship Id="rId33" Type="http://schemas.openxmlformats.org/officeDocument/2006/relationships/hyperlink" Target="https://atilim-my.sharepoint.com/:f:/g/personal/kidr_atilim_edu_tr/Er1U6Wcs59xEtAdzP-TsL4EB4fFIt9BVYeNBFLOTDxMq-Q?e=XJ4Mtw" TargetMode="External"/><Relationship Id="rId2" Type="http://schemas.openxmlformats.org/officeDocument/2006/relationships/styles" Target="styles.xml"/><Relationship Id="rId16" Type="http://schemas.openxmlformats.org/officeDocument/2006/relationships/hyperlink" Target="https://www.atilim.edu.tr/tr/argeda/page/4077/usul-ve-esaslar" TargetMode="External"/><Relationship Id="rId20" Type="http://schemas.openxmlformats.org/officeDocument/2006/relationships/hyperlink" Target="https://www.atilim.edu.tr/tr/argeda-teknoloji-transfer-ofisi-direktorlugu/news/3790/tubitak-ardeb--program-guncellemeleri-konferansi-gerceklestirildi" TargetMode="External"/><Relationship Id="rId29" Type="http://schemas.openxmlformats.org/officeDocument/2006/relationships/hyperlink" Target="https://atilim-my.sharepoint.com/:f:/g/personal/kidr_atilim_edu_tr/Er1U6Wcs59xEtAdzP-TsL4EB4fFIt9BVYeNBFLOTDxMq-Q?e=XJ4Mt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www.atilim.edu.tr/files/yonergeler/M&#304;SAF&#304;R%20VE%20DOKTORA%20SONRASI%20ARA&#350;TIRMACILAR%20Y&#214;NERGES&#304;.pdf" TargetMode="External"/><Relationship Id="rId32" Type="http://schemas.openxmlformats.org/officeDocument/2006/relationships/hyperlink" Target="https://www.atilim.edu.tr/tr/argeda/page/3895/arastirma-kitapcigi-2013-2017" TargetMode="External"/><Relationship Id="rId5" Type="http://schemas.openxmlformats.org/officeDocument/2006/relationships/footnotes" Target="footnotes.xml"/><Relationship Id="rId15" Type="http://schemas.openxmlformats.org/officeDocument/2006/relationships/hyperlink" Target="https://www.atilim.edu.tr/uploads/pages/yonergeler-1517410927/1548329462-Ara&#351;t&#305;rma,%20Geli&#351;tirme,%20Tasar&#305;m,%20Uygulama,%20Dan&#305;&#351;manl&#305;k%20ve%20Teknoloji%20Trans....pdf" TargetMode="External"/><Relationship Id="rId23" Type="http://schemas.openxmlformats.org/officeDocument/2006/relationships/hyperlink" Target="https://www.atilim.edu.tr/tr/home/news/4170/atilim-universitesi-arastirma-gunu-etkinlikleri-gerceklestirildi---atag-2019" TargetMode="External"/><Relationship Id="rId28" Type="http://schemas.openxmlformats.org/officeDocument/2006/relationships/hyperlink" Target="https://www.atilim.edu.tr/tr/argeda/page/4807/usul-ve-esaslar" TargetMode="External"/><Relationship Id="rId36" Type="http://schemas.openxmlformats.org/officeDocument/2006/relationships/theme" Target="theme/theme1.xml"/><Relationship Id="rId10" Type="http://schemas.openxmlformats.org/officeDocument/2006/relationships/hyperlink" Target="https://destek.atilim.edu.tr/restricted/arastirmadan_sorumlu_rektor_yardimciligi/docs/Yay&#305;n%20&#304;statistikleri.pdf" TargetMode="External"/><Relationship Id="rId19" Type="http://schemas.openxmlformats.org/officeDocument/2006/relationships/hyperlink" Target="https://www.atilim.edu.tr/tr/argeda/page/943/ic-destek-programlari" TargetMode="External"/><Relationship Id="rId31" Type="http://schemas.openxmlformats.org/officeDocument/2006/relationships/hyperlink" Target="https://www.atilim.edu.tr/tr/argeda/page/951/usul-ve-esaslar" TargetMode="External"/><Relationship Id="rId4" Type="http://schemas.openxmlformats.org/officeDocument/2006/relationships/webSettings" Target="webSettings.xml"/><Relationship Id="rId9" Type="http://schemas.openxmlformats.org/officeDocument/2006/relationships/hyperlink" Target="https://www.atilim.edu.tr/tr/home/page/113/mevzuat" TargetMode="External"/><Relationship Id="rId14" Type="http://schemas.openxmlformats.org/officeDocument/2006/relationships/hyperlink" Target="https://www.atilim.edu.tr/tr/argeda/page/2149/usul-ve-esaslar" TargetMode="External"/><Relationship Id="rId22" Type="http://schemas.openxmlformats.org/officeDocument/2006/relationships/chart" Target="charts/chart3.xml"/><Relationship Id="rId27" Type="http://schemas.openxmlformats.org/officeDocument/2006/relationships/hyperlink" Target="https://www.atilim.edu.tr/tr/home/page/113/mevzuat" TargetMode="External"/><Relationship Id="rId30" Type="http://schemas.openxmlformats.org/officeDocument/2006/relationships/hyperlink" Target="https://www.atilim.edu.tr/tr/argeda/page/4534/arastirmadan-sorumlu-rektor-yardimciligi" TargetMode="External"/><Relationship Id="rId35" Type="http://schemas.openxmlformats.org/officeDocument/2006/relationships/fontTable" Target="fontTable.xml"/><Relationship Id="rId8" Type="http://schemas.openxmlformats.org/officeDocument/2006/relationships/hyperlink" Target="https://www.atilim.edu.tr/tr/argeda/page/931/arastirma-politikalar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Masa&#252;st&#252;\Yay&#305;n%20istatistikleri-Web%20sayfas&#30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baseline="0"/>
              <a:t>Tam makale sayıları (Web of Science)</a:t>
            </a:r>
            <a:endParaRPr lang="tr-T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Sayfa1!$A$1:$A$20</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Sayfa1!$B$1:$B$20</c:f>
              <c:numCache>
                <c:formatCode>General</c:formatCode>
                <c:ptCount val="20"/>
                <c:pt idx="0">
                  <c:v>1</c:v>
                </c:pt>
                <c:pt idx="1">
                  <c:v>10</c:v>
                </c:pt>
                <c:pt idx="2">
                  <c:v>22</c:v>
                </c:pt>
                <c:pt idx="3">
                  <c:v>38</c:v>
                </c:pt>
                <c:pt idx="4">
                  <c:v>46</c:v>
                </c:pt>
                <c:pt idx="5">
                  <c:v>51</c:v>
                </c:pt>
                <c:pt idx="6">
                  <c:v>52</c:v>
                </c:pt>
                <c:pt idx="7">
                  <c:v>64</c:v>
                </c:pt>
                <c:pt idx="8">
                  <c:v>65</c:v>
                </c:pt>
                <c:pt idx="9">
                  <c:v>93</c:v>
                </c:pt>
                <c:pt idx="10">
                  <c:v>100</c:v>
                </c:pt>
                <c:pt idx="11">
                  <c:v>114</c:v>
                </c:pt>
                <c:pt idx="12">
                  <c:v>182</c:v>
                </c:pt>
                <c:pt idx="13">
                  <c:v>178</c:v>
                </c:pt>
                <c:pt idx="14">
                  <c:v>189</c:v>
                </c:pt>
                <c:pt idx="15">
                  <c:v>178</c:v>
                </c:pt>
                <c:pt idx="16">
                  <c:v>167</c:v>
                </c:pt>
                <c:pt idx="17">
                  <c:v>173</c:v>
                </c:pt>
                <c:pt idx="18">
                  <c:v>225</c:v>
                </c:pt>
                <c:pt idx="19">
                  <c:v>235</c:v>
                </c:pt>
              </c:numCache>
            </c:numRef>
          </c:val>
          <c:extLst>
            <c:ext xmlns:c16="http://schemas.microsoft.com/office/drawing/2014/chart" uri="{C3380CC4-5D6E-409C-BE32-E72D297353CC}">
              <c16:uniqueId val="{00000000-BBE8-4B31-844A-9BB7E2B321B0}"/>
            </c:ext>
          </c:extLst>
        </c:ser>
        <c:dLbls>
          <c:showLegendKey val="0"/>
          <c:showVal val="0"/>
          <c:showCatName val="0"/>
          <c:showSerName val="0"/>
          <c:showPercent val="0"/>
          <c:showBubbleSize val="0"/>
        </c:dLbls>
        <c:gapWidth val="219"/>
        <c:overlap val="-27"/>
        <c:axId val="1313402511"/>
        <c:axId val="1313397519"/>
      </c:barChart>
      <c:catAx>
        <c:axId val="13134025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13397519"/>
        <c:crosses val="autoZero"/>
        <c:auto val="1"/>
        <c:lblAlgn val="ctr"/>
        <c:lblOffset val="100"/>
        <c:noMultiLvlLbl val="0"/>
      </c:catAx>
      <c:valAx>
        <c:axId val="13133975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31340251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a:t>Atıf</a:t>
            </a:r>
            <a:r>
              <a:rPr lang="tr-TR" baseline="0"/>
              <a:t> Sayıları (Web of Science)</a:t>
            </a:r>
            <a:endParaRPr lang="tr-T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'[Yayın istatistikleri-Web sayfası.xlsx]Sayfa1'!$A$46:$A$64</c:f>
              <c:numCache>
                <c:formatCode>General</c:formatCode>
                <c:ptCount val="19"/>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numCache>
            </c:numRef>
          </c:cat>
          <c:val>
            <c:numRef>
              <c:f>'[Yayın istatistikleri-Web sayfası.xlsx]Sayfa1'!$B$46:$B$64</c:f>
              <c:numCache>
                <c:formatCode>General</c:formatCode>
                <c:ptCount val="19"/>
                <c:pt idx="0">
                  <c:v>2</c:v>
                </c:pt>
                <c:pt idx="1">
                  <c:v>10</c:v>
                </c:pt>
                <c:pt idx="2">
                  <c:v>23</c:v>
                </c:pt>
                <c:pt idx="3">
                  <c:v>59</c:v>
                </c:pt>
                <c:pt idx="4">
                  <c:v>165</c:v>
                </c:pt>
                <c:pt idx="5">
                  <c:v>297</c:v>
                </c:pt>
                <c:pt idx="6">
                  <c:v>483</c:v>
                </c:pt>
                <c:pt idx="7">
                  <c:v>576</c:v>
                </c:pt>
                <c:pt idx="8">
                  <c:v>731</c:v>
                </c:pt>
                <c:pt idx="9">
                  <c:v>851</c:v>
                </c:pt>
                <c:pt idx="10">
                  <c:v>990</c:v>
                </c:pt>
                <c:pt idx="11">
                  <c:v>1491</c:v>
                </c:pt>
                <c:pt idx="12">
                  <c:v>1975</c:v>
                </c:pt>
                <c:pt idx="13">
                  <c:v>2212</c:v>
                </c:pt>
                <c:pt idx="14">
                  <c:v>2181</c:v>
                </c:pt>
                <c:pt idx="15">
                  <c:v>2499</c:v>
                </c:pt>
                <c:pt idx="16">
                  <c:v>2803</c:v>
                </c:pt>
                <c:pt idx="17">
                  <c:v>3419</c:v>
                </c:pt>
                <c:pt idx="18">
                  <c:v>3891</c:v>
                </c:pt>
              </c:numCache>
            </c:numRef>
          </c:val>
          <c:extLst>
            <c:ext xmlns:c16="http://schemas.microsoft.com/office/drawing/2014/chart" uri="{C3380CC4-5D6E-409C-BE32-E72D297353CC}">
              <c16:uniqueId val="{00000000-C94E-4CCF-9FE5-11F4DE595333}"/>
            </c:ext>
          </c:extLst>
        </c:ser>
        <c:dLbls>
          <c:showLegendKey val="0"/>
          <c:showVal val="0"/>
          <c:showCatName val="0"/>
          <c:showSerName val="0"/>
          <c:showPercent val="0"/>
          <c:showBubbleSize val="0"/>
        </c:dLbls>
        <c:gapWidth val="219"/>
        <c:overlap val="-27"/>
        <c:axId val="887815088"/>
        <c:axId val="887816752"/>
      </c:barChart>
      <c:catAx>
        <c:axId val="887815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887816752"/>
        <c:crosses val="autoZero"/>
        <c:auto val="1"/>
        <c:lblAlgn val="ctr"/>
        <c:lblOffset val="100"/>
        <c:noMultiLvlLbl val="0"/>
      </c:catAx>
      <c:valAx>
        <c:axId val="88781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8878150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9821605550049554E-2"/>
          <c:y val="9.479061329455031E-2"/>
          <c:w val="0.9636603898249092"/>
          <c:h val="0.73869118632898167"/>
        </c:manualLayout>
      </c:layout>
      <c:barChart>
        <c:barDir val="col"/>
        <c:grouping val="clustered"/>
        <c:varyColors val="0"/>
        <c:ser>
          <c:idx val="0"/>
          <c:order val="0"/>
          <c:tx>
            <c:strRef>
              <c:f>'3. slayt'!$B$2</c:f>
              <c:strCache>
                <c:ptCount val="1"/>
                <c:pt idx="0">
                  <c:v>Hibe Alan Proje Sayısı</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1064" b="0" i="0" u="none" strike="noStrike" kern="1200" baseline="0">
                    <a:solidFill>
                      <a:schemeClr val="tx1">
                        <a:lumMod val="50000"/>
                        <a:lumOff val="50000"/>
                      </a:schemeClr>
                    </a:solidFill>
                    <a:latin typeface="+mn-lt"/>
                    <a:ea typeface="+mn-ea"/>
                    <a:cs typeface="+mn-cs"/>
                  </a:defRPr>
                </a:pPr>
                <a:endParaRPr lang="tr-T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'3. slayt'!$A$3:$A$17</c:f>
              <c:numCache>
                <c:formatCode>General</c:formatCode>
                <c:ptCount val="15"/>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numCache>
            </c:numRef>
          </c:cat>
          <c:val>
            <c:numRef>
              <c:f>'3. slayt'!$B$3:$B$17</c:f>
              <c:numCache>
                <c:formatCode>General</c:formatCode>
                <c:ptCount val="15"/>
                <c:pt idx="0">
                  <c:v>0</c:v>
                </c:pt>
                <c:pt idx="1">
                  <c:v>2</c:v>
                </c:pt>
                <c:pt idx="2">
                  <c:v>2</c:v>
                </c:pt>
                <c:pt idx="3">
                  <c:v>1</c:v>
                </c:pt>
                <c:pt idx="4">
                  <c:v>3</c:v>
                </c:pt>
                <c:pt idx="5">
                  <c:v>9</c:v>
                </c:pt>
                <c:pt idx="6">
                  <c:v>3</c:v>
                </c:pt>
                <c:pt idx="7">
                  <c:v>6</c:v>
                </c:pt>
                <c:pt idx="8">
                  <c:v>7</c:v>
                </c:pt>
                <c:pt idx="9">
                  <c:v>10</c:v>
                </c:pt>
                <c:pt idx="10">
                  <c:v>13</c:v>
                </c:pt>
                <c:pt idx="11">
                  <c:v>2</c:v>
                </c:pt>
                <c:pt idx="12">
                  <c:v>13</c:v>
                </c:pt>
                <c:pt idx="13">
                  <c:v>8</c:v>
                </c:pt>
                <c:pt idx="14">
                  <c:v>6</c:v>
                </c:pt>
              </c:numCache>
            </c:numRef>
          </c:val>
          <c:extLst>
            <c:ext xmlns:c16="http://schemas.microsoft.com/office/drawing/2014/chart" uri="{C3380CC4-5D6E-409C-BE32-E72D297353CC}">
              <c16:uniqueId val="{00000000-BC10-451D-8ACC-20839360C8A5}"/>
            </c:ext>
          </c:extLst>
        </c:ser>
        <c:dLbls>
          <c:dLblPos val="outEnd"/>
          <c:showLegendKey val="0"/>
          <c:showVal val="1"/>
          <c:showCatName val="0"/>
          <c:showSerName val="0"/>
          <c:showPercent val="0"/>
          <c:showBubbleSize val="0"/>
        </c:dLbls>
        <c:gapWidth val="444"/>
        <c:overlap val="-90"/>
        <c:axId val="-724802704"/>
        <c:axId val="-487796912"/>
      </c:barChart>
      <c:catAx>
        <c:axId val="-7248027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accent6"/>
            </a:solidFill>
            <a:round/>
          </a:ln>
          <a:effectLst/>
        </c:spPr>
        <c:txPr>
          <a:bodyPr rot="-60000000" spcFirstLastPara="1" vertOverflow="ellipsis" vert="horz" wrap="square" anchor="ctr" anchorCtr="1"/>
          <a:lstStyle/>
          <a:p>
            <a:pPr>
              <a:defRPr sz="1064" b="0" i="0" u="none" strike="noStrike" kern="1200" cap="all" spc="120" normalizeH="0" baseline="0">
                <a:solidFill>
                  <a:schemeClr val="tx1">
                    <a:lumMod val="65000"/>
                    <a:lumOff val="35000"/>
                  </a:schemeClr>
                </a:solidFill>
                <a:latin typeface="+mn-lt"/>
                <a:ea typeface="+mn-ea"/>
                <a:cs typeface="+mn-cs"/>
              </a:defRPr>
            </a:pPr>
            <a:endParaRPr lang="tr-TR"/>
          </a:p>
        </c:txPr>
        <c:crossAx val="-487796912"/>
        <c:crosses val="autoZero"/>
        <c:auto val="1"/>
        <c:lblAlgn val="ctr"/>
        <c:lblOffset val="100"/>
        <c:noMultiLvlLbl val="0"/>
      </c:catAx>
      <c:valAx>
        <c:axId val="-487796912"/>
        <c:scaling>
          <c:orientation val="minMax"/>
        </c:scaling>
        <c:delete val="1"/>
        <c:axPos val="l"/>
        <c:numFmt formatCode="General" sourceLinked="1"/>
        <c:majorTickMark val="none"/>
        <c:minorTickMark val="none"/>
        <c:tickLblPos val="nextTo"/>
        <c:crossAx val="-724802704"/>
        <c:crosses val="autoZero"/>
        <c:crossBetween val="between"/>
      </c:valAx>
      <c:spPr>
        <a:noFill/>
        <a:ln>
          <a:solidFill>
            <a:schemeClr val="accent1"/>
          </a:solidFill>
        </a:ln>
        <a:effectLst/>
      </c:spPr>
    </c:plotArea>
    <c:legend>
      <c:legendPos val="t"/>
      <c:layout>
        <c:manualLayout>
          <c:xMode val="edge"/>
          <c:yMode val="edge"/>
          <c:x val="9.5815352119637168E-2"/>
          <c:y val="0.19227994227994227"/>
          <c:w val="0.39541918013469329"/>
          <c:h val="4.921581771975473E-2"/>
        </c:manualLayout>
      </c:layout>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1197"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064"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50000"/>
        <a:lumOff val="50000"/>
      </a:schemeClr>
    </cs:fontRef>
    <cs:defRPr sz="1064"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2128"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064"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1197" kern="1200"/>
  </cs:valueAxis>
  <cs:wall>
    <cs:lnRef idx="0"/>
    <cs:fillRef idx="0"/>
    <cs:effectRef idx="0"/>
    <cs:fontRef idx="minor">
      <a:schemeClr val="dk1"/>
    </cs:fontRef>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11</Pages>
  <Words>4734</Words>
  <Characters>26984</Characters>
  <Application>Microsoft Office Word</Application>
  <DocSecurity>0</DocSecurity>
  <Lines>224</Lines>
  <Paragraphs>63</Paragraphs>
  <ScaleCrop>false</ScaleCrop>
  <Manager>C. AraştırmaveGeliştirme; </Manager>
  <Company/>
  <LinksUpToDate>false</LinksUpToDate>
  <CharactersWithSpaces>31655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AraştırmaveGeliştirme; </dc:title>
  <dc:subject>C. AraştırmaveGeliştirme; </dc:subject>
  <dc:creator>ERK</dc:creator>
  <cp:keywords>C. AraştırmaveGeliştirme</cp:keywords>
  <dc:description/>
  <cp:lastModifiedBy>Admin</cp:lastModifiedBy>
  <cp:revision>180</cp:revision>
  <dcterms:created xsi:type="dcterms:W3CDTF">2020-02-16T08:03:00Z</dcterms:created>
  <dcterms:modified xsi:type="dcterms:W3CDTF">2020-02-24T11:10:00Z</dcterms:modified>
</cp:coreProperties>
</file>